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color w:val="000000" w:themeColor="text1"/>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620" w:lineRule="exact"/>
        <w:jc w:val="center"/>
        <w:textAlignment w:val="auto"/>
        <w:rPr>
          <w:rFonts w:hint="eastAsia" w:ascii="方正小标宋_GBK" w:hAnsi="方正小标宋_GBK" w:eastAsia="方正小标宋_GBK" w:cs="方正小标宋_GBK"/>
          <w:color w:val="000000" w:themeColor="text1"/>
          <w:spacing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关于印发《</w:t>
      </w:r>
      <w:r>
        <w:rPr>
          <w:rFonts w:hint="eastAsia" w:ascii="方正小标宋_GBK" w:hAnsi="方正小标宋_GBK" w:eastAsia="方正小标宋_GBK" w:cs="方正小标宋_GBK"/>
          <w:color w:val="000000" w:themeColor="text1"/>
          <w:spacing w:val="0"/>
          <w:position w:val="0"/>
          <w:sz w:val="44"/>
          <w:szCs w:val="44"/>
          <w:lang w:eastAsia="zh-CN"/>
          <w14:textOutline w14:w="8356" w14:cap="flat" w14:cmpd="sng">
            <w14:solidFill>
              <w14:srgbClr w14:val="000000"/>
            </w14:solidFill>
            <w14:prstDash w14:val="solid"/>
            <w14:miter w14:val="0"/>
          </w14:textOutline>
          <w14:textFill>
            <w14:solidFill>
              <w14:schemeClr w14:val="tx1"/>
            </w14:solidFill>
          </w14:textFill>
        </w:rPr>
        <w:t>安徽</w:t>
      </w:r>
      <w:r>
        <w:rPr>
          <w:rFonts w:hint="eastAsia" w:ascii="方正小标宋_GBK" w:hAnsi="方正小标宋_GBK" w:eastAsia="方正小标宋_GBK" w:cs="方正小标宋_GBK"/>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省律师</w:t>
      </w:r>
      <w:r>
        <w:rPr>
          <w:rFonts w:hint="eastAsia" w:ascii="方正小标宋_GBK" w:hAnsi="方正小标宋_GBK" w:eastAsia="方正小标宋_GBK" w:cs="方正小标宋_GBK"/>
          <w:color w:val="000000" w:themeColor="text1"/>
          <w:spacing w:val="0"/>
          <w:position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事务所律师</w:t>
      </w:r>
      <w:r>
        <w:rPr>
          <w:rFonts w:hint="eastAsia" w:ascii="方正小标宋_GBK" w:hAnsi="方正小标宋_GBK" w:eastAsia="方正小标宋_GBK" w:cs="方正小标宋_GBK"/>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服务费标准制定指引</w:t>
      </w:r>
      <w:r>
        <w:rPr>
          <w:rFonts w:hint="eastAsia" w:ascii="方正小标宋_GBK" w:hAnsi="方正小标宋_GBK" w:eastAsia="方正小标宋_GBK" w:cs="方正小标宋_GBK"/>
          <w:color w:val="000000" w:themeColor="text1"/>
          <w:spacing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》的通知</w:t>
      </w:r>
    </w:p>
    <w:p>
      <w:pPr>
        <w:keepNext w:val="0"/>
        <w:keepLines w:val="0"/>
        <w:pageBreakBefore w:val="0"/>
        <w:kinsoku/>
        <w:wordWrap/>
        <w:overflowPunct/>
        <w:topLinePunct w:val="0"/>
        <w:autoSpaceDE/>
        <w:autoSpaceDN/>
        <w:bidi w:val="0"/>
        <w:adjustRightInd/>
        <w:snapToGrid/>
        <w:spacing w:line="620" w:lineRule="exact"/>
        <w:jc w:val="center"/>
        <w:textAlignment w:val="auto"/>
        <w:rPr>
          <w:rFonts w:ascii="Times New Roman" w:hAnsi="Times New Roman" w:eastAsia="Arial Unicode MS" w:cs="Times New Roman"/>
          <w:color w:val="000000"/>
          <w:sz w:val="44"/>
          <w:szCs w:val="44"/>
        </w:rPr>
      </w:pP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Times New Roman" w:hAnsi="Times New Roman" w:eastAsia="仿宋_GB2312" w:cs="Times New Roman"/>
          <w:color w:val="000000"/>
          <w:sz w:val="32"/>
          <w:szCs w:val="32"/>
          <w:lang w:val="en-US" w:eastAsia="zh-CN"/>
        </w:rPr>
      </w:pPr>
      <w:bookmarkStart w:id="0" w:name="_GoBack"/>
      <w:bookmarkEnd w:id="0"/>
      <w:r>
        <w:rPr>
          <w:rFonts w:hint="eastAsia" w:ascii="Times New Roman" w:hAnsi="Times New Roman" w:eastAsia="仿宋_GB2312" w:cs="Times New Roman"/>
          <w:color w:val="000000"/>
          <w:sz w:val="32"/>
          <w:szCs w:val="32"/>
          <w:lang w:val="en-US" w:eastAsia="zh-CN"/>
        </w:rPr>
        <w:t>各市律师协会，广德市、宿松县律师协会：</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eastAsia"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w:t>
      </w:r>
      <w:r>
        <w:rPr>
          <w:rFonts w:hint="eastAsia" w:ascii="Times New Roman" w:hAnsi="Times New Roman" w:eastAsia="仿宋_GB2312" w:cs="Times New Roman"/>
          <w:color w:val="000000"/>
          <w:spacing w:val="0"/>
          <w:position w:val="0"/>
          <w:sz w:val="32"/>
          <w:szCs w:val="32"/>
          <w:lang w:eastAsia="zh-CN"/>
        </w:rPr>
        <w:t>安徽</w:t>
      </w:r>
      <w:r>
        <w:rPr>
          <w:rFonts w:hint="eastAsia" w:ascii="Times New Roman" w:hAnsi="Times New Roman" w:eastAsia="仿宋_GB2312" w:cs="Times New Roman"/>
          <w:color w:val="000000"/>
          <w:spacing w:val="0"/>
          <w:position w:val="0"/>
          <w:sz w:val="32"/>
          <w:szCs w:val="32"/>
        </w:rPr>
        <w:t>省律师</w:t>
      </w:r>
      <w:r>
        <w:rPr>
          <w:rFonts w:hint="eastAsia" w:ascii="Times New Roman" w:hAnsi="Times New Roman" w:eastAsia="仿宋_GB2312" w:cs="Times New Roman"/>
          <w:color w:val="000000"/>
          <w:spacing w:val="0"/>
          <w:position w:val="0"/>
          <w:sz w:val="32"/>
          <w:szCs w:val="32"/>
          <w:lang w:val="en-US" w:eastAsia="zh-CN"/>
        </w:rPr>
        <w:t>事务所律师</w:t>
      </w:r>
      <w:r>
        <w:rPr>
          <w:rFonts w:hint="eastAsia" w:ascii="Times New Roman" w:hAnsi="Times New Roman" w:eastAsia="仿宋_GB2312" w:cs="Times New Roman"/>
          <w:color w:val="000000"/>
          <w:spacing w:val="0"/>
          <w:position w:val="0"/>
          <w:sz w:val="32"/>
          <w:szCs w:val="32"/>
        </w:rPr>
        <w:t>服务费标准制定指引</w:t>
      </w:r>
      <w:r>
        <w:rPr>
          <w:rFonts w:hint="eastAsia" w:ascii="Times New Roman" w:hAnsi="Times New Roman" w:eastAsia="仿宋_GB2312" w:cs="Times New Roman"/>
          <w:color w:val="000000"/>
          <w:spacing w:val="0"/>
          <w:sz w:val="32"/>
          <w:szCs w:val="32"/>
          <w:lang w:val="en-US" w:eastAsia="zh-CN"/>
        </w:rPr>
        <w:t>》已经</w:t>
      </w:r>
      <w:r>
        <w:rPr>
          <w:rFonts w:hint="eastAsia" w:ascii="Times New Roman" w:hAnsi="Times New Roman" w:eastAsia="仿宋_GB2312" w:cs="Times New Roman"/>
          <w:b w:val="0"/>
          <w:i w:val="0"/>
          <w:iCs w:val="0"/>
          <w:caps w:val="0"/>
          <w:color w:val="000000"/>
          <w:spacing w:val="0"/>
          <w:kern w:val="2"/>
          <w:sz w:val="32"/>
          <w:szCs w:val="32"/>
          <w:lang w:val="en-US" w:eastAsia="zh-CN"/>
        </w:rPr>
        <w:t>2023年</w:t>
      </w:r>
      <w:r>
        <w:rPr>
          <w:rFonts w:hint="eastAsia" w:ascii="Times New Roman" w:hAnsi="Times New Roman" w:eastAsia="仿宋_GB2312" w:cs="Times New Roman"/>
          <w:b w:val="0"/>
          <w:i w:val="0"/>
          <w:iCs w:val="0"/>
          <w:caps w:val="0"/>
          <w:color w:val="000000"/>
          <w:spacing w:val="0"/>
          <w:kern w:val="2"/>
          <w:sz w:val="32"/>
          <w:szCs w:val="32"/>
          <w:shd w:val="clear" w:fill="auto"/>
        </w:rPr>
        <w:t>3月4日</w:t>
      </w:r>
      <w:r>
        <w:rPr>
          <w:rFonts w:hint="eastAsia" w:ascii="Times New Roman" w:hAnsi="Times New Roman" w:eastAsia="仿宋_GB2312" w:cs="Times New Roman"/>
          <w:b w:val="0"/>
          <w:i w:val="0"/>
          <w:iCs w:val="0"/>
          <w:caps w:val="0"/>
          <w:color w:val="000000"/>
          <w:spacing w:val="0"/>
          <w:kern w:val="2"/>
          <w:sz w:val="32"/>
          <w:szCs w:val="32"/>
        </w:rPr>
        <w:t>第十届</w:t>
      </w:r>
      <w:r>
        <w:rPr>
          <w:rFonts w:hint="eastAsia" w:ascii="Times New Roman" w:hAnsi="Times New Roman" w:eastAsia="仿宋_GB2312" w:cs="Times New Roman"/>
          <w:b w:val="0"/>
          <w:i w:val="0"/>
          <w:iCs w:val="0"/>
          <w:caps w:val="0"/>
          <w:color w:val="000000"/>
          <w:spacing w:val="0"/>
          <w:kern w:val="2"/>
          <w:sz w:val="32"/>
          <w:szCs w:val="32"/>
          <w:lang w:val="en-US" w:eastAsia="zh-CN"/>
        </w:rPr>
        <w:t>安徽省律师协会</w:t>
      </w:r>
      <w:r>
        <w:rPr>
          <w:rFonts w:hint="eastAsia" w:ascii="Times New Roman" w:hAnsi="Times New Roman" w:eastAsia="仿宋_GB2312" w:cs="Times New Roman"/>
          <w:b w:val="0"/>
          <w:i w:val="0"/>
          <w:iCs w:val="0"/>
          <w:caps w:val="0"/>
          <w:color w:val="000000"/>
          <w:spacing w:val="0"/>
          <w:kern w:val="2"/>
          <w:sz w:val="32"/>
          <w:szCs w:val="32"/>
        </w:rPr>
        <w:t>常务理事</w:t>
      </w: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会第六次会议</w:t>
      </w:r>
      <w:r>
        <w:rPr>
          <w:rFonts w:hint="eastAsia" w:ascii="Times New Roman" w:hAnsi="Times New Roman" w:eastAsia="仿宋_GB2312" w:cs="Times New Roman"/>
          <w:b w:val="0"/>
          <w:i w:val="0"/>
          <w:iCs w:val="0"/>
          <w:caps w:val="0"/>
          <w:color w:val="000000" w:themeColor="text1"/>
          <w:spacing w:val="0"/>
          <w:kern w:val="2"/>
          <w:sz w:val="32"/>
          <w:szCs w:val="32"/>
          <w:lang w:eastAsia="zh-CN"/>
          <w14:textFill>
            <w14:solidFill>
              <w14:schemeClr w14:val="tx1"/>
            </w14:solidFill>
          </w14:textFill>
        </w:rPr>
        <w:t>审议</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通过</w:t>
      </w:r>
      <w:r>
        <w:rPr>
          <w:rFonts w:hint="eastAsia"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w:t>
      </w:r>
      <w:r>
        <w:rPr>
          <w:rFonts w:hint="eastAsia" w:ascii="Times New Roman" w:hAnsi="Times New Roman" w:eastAsia="仿宋_GB2312" w:cs="Times New Roman"/>
          <w:color w:val="000000"/>
          <w:sz w:val="32"/>
          <w:szCs w:val="32"/>
          <w:lang w:val="en-US" w:eastAsia="zh-CN"/>
        </w:rPr>
        <w:t>现印发给你们，请认真贯彻落实。</w:t>
      </w:r>
    </w:p>
    <w:p>
      <w:pPr>
        <w:keepNext w:val="0"/>
        <w:keepLines w:val="0"/>
        <w:pageBreakBefore w:val="0"/>
        <w:widowControl w:val="0"/>
        <w:kinsoku/>
        <w:wordWrap/>
        <w:overflowPunct/>
        <w:topLinePunct w:val="0"/>
        <w:autoSpaceDE/>
        <w:autoSpaceDN/>
        <w:bidi w:val="0"/>
        <w:adjustRightInd/>
        <w:snapToGrid/>
        <w:spacing w:line="600" w:lineRule="exact"/>
        <w:ind w:firstLine="640"/>
        <w:jc w:val="both"/>
        <w:textAlignment w:val="auto"/>
        <w:rPr>
          <w:rFonts w:hint="default" w:ascii="Times New Roman" w:hAnsi="Times New Roman" w:eastAsia="仿宋_GB2312" w:cs="Times New Roman"/>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Times New Roman" w:hAnsi="Times New Roman"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 xml:space="preserve">    </w:t>
      </w:r>
      <w:r>
        <w:rPr>
          <w:rFonts w:hint="eastAsia" w:ascii="Times New Roman" w:hAnsi="Times New Roman" w:cs="Times New Roman"/>
          <w:color w:val="00000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val="en-US" w:eastAsia="zh-CN"/>
        </w:rPr>
        <w:t>安徽省律师协会</w:t>
      </w:r>
    </w:p>
    <w:p>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hint="default" w:ascii="Times New Roman" w:hAnsi="Times New Roman" w:eastAsia="仿宋_GB2312" w:cs="Times New Roman"/>
          <w:color w:val="000000"/>
          <w:sz w:val="32"/>
          <w:szCs w:val="32"/>
          <w:lang w:val="en-US" w:eastAsia="zh-CN"/>
        </w:rPr>
      </w:pPr>
      <w:r>
        <w:rPr>
          <w:rFonts w:hint="eastAsia" w:ascii="Times New Roman" w:hAnsi="Times New Roman" w:eastAsia="仿宋_GB2312" w:cs="Times New Roman"/>
          <w:color w:val="000000"/>
          <w:sz w:val="32"/>
          <w:szCs w:val="32"/>
          <w:lang w:val="en-US" w:eastAsia="zh-CN"/>
        </w:rPr>
        <w:t xml:space="preserve"> </w:t>
      </w:r>
      <w:r>
        <w:rPr>
          <w:rFonts w:hint="eastAsia" w:ascii="Times New Roman" w:hAnsi="Times New Roman" w:cs="Times New Roman"/>
          <w:color w:val="000000"/>
          <w:sz w:val="32"/>
          <w:szCs w:val="32"/>
          <w:lang w:val="en-US" w:eastAsia="zh-CN"/>
        </w:rPr>
        <w:t xml:space="preserve">          </w:t>
      </w:r>
      <w:r>
        <w:rPr>
          <w:rFonts w:hint="eastAsia" w:ascii="Times New Roman" w:hAnsi="Times New Roman" w:eastAsia="仿宋_GB2312" w:cs="Times New Roman"/>
          <w:color w:val="000000"/>
          <w:sz w:val="32"/>
          <w:szCs w:val="32"/>
          <w:lang w:val="en-US" w:eastAsia="zh-CN"/>
        </w:rPr>
        <w:t xml:space="preserve"> </w:t>
      </w:r>
      <w:r>
        <w:rPr>
          <w:rFonts w:hint="eastAsia" w:ascii="Times New Roman" w:hAnsi="Times New Roman" w:cs="Times New Roman"/>
          <w:color w:val="000000"/>
          <w:sz w:val="32"/>
          <w:szCs w:val="32"/>
          <w:lang w:val="en-US" w:eastAsia="zh-CN"/>
        </w:rPr>
        <w:t xml:space="preserve"> </w:t>
      </w:r>
      <w:r>
        <w:rPr>
          <w:rFonts w:hint="eastAsia" w:ascii="Times New Roman" w:hAnsi="Times New Roman" w:eastAsia="仿宋_GB2312" w:cs="Times New Roman"/>
          <w:color w:val="000000"/>
          <w:sz w:val="32"/>
          <w:szCs w:val="32"/>
          <w:lang w:val="en-US" w:eastAsia="zh-CN"/>
        </w:rPr>
        <w:t xml:space="preserve">          </w:t>
      </w:r>
      <w:r>
        <w:rPr>
          <w:rFonts w:hint="default" w:ascii="Times New Roman" w:hAnsi="Times New Roman" w:eastAsia="仿宋_GB2312" w:cs="Times New Roman"/>
          <w:color w:val="000000"/>
          <w:sz w:val="32"/>
          <w:szCs w:val="32"/>
          <w:lang w:val="en-US" w:eastAsia="zh-CN"/>
        </w:rPr>
        <w:t>2023年</w:t>
      </w:r>
      <w:r>
        <w:rPr>
          <w:rFonts w:hint="eastAsia" w:ascii="Times New Roman" w:hAnsi="Times New Roman" w:eastAsia="仿宋_GB2312" w:cs="Times New Roman"/>
          <w:color w:val="000000"/>
          <w:sz w:val="32"/>
          <w:szCs w:val="32"/>
          <w:lang w:val="en-US" w:eastAsia="zh-CN"/>
        </w:rPr>
        <w:t>10</w:t>
      </w:r>
      <w:r>
        <w:rPr>
          <w:rFonts w:hint="default" w:ascii="Times New Roman" w:hAnsi="Times New Roman" w:eastAsia="仿宋_GB2312" w:cs="Times New Roman"/>
          <w:color w:val="000000"/>
          <w:sz w:val="32"/>
          <w:szCs w:val="32"/>
          <w:lang w:val="en-US" w:eastAsia="zh-CN"/>
        </w:rPr>
        <w:t>月</w:t>
      </w:r>
      <w:r>
        <w:rPr>
          <w:rFonts w:hint="eastAsia" w:ascii="Times New Roman" w:hAnsi="Times New Roman" w:cs="Times New Roman"/>
          <w:color w:val="000000"/>
          <w:sz w:val="32"/>
          <w:szCs w:val="32"/>
          <w:lang w:val="en-US" w:eastAsia="zh-CN"/>
        </w:rPr>
        <w:t>30</w:t>
      </w:r>
      <w:r>
        <w:rPr>
          <w:rFonts w:hint="default" w:ascii="Times New Roman" w:hAnsi="Times New Roman" w:eastAsia="仿宋_GB2312" w:cs="Times New Roman"/>
          <w:color w:val="000000"/>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auto"/>
        <w:jc w:val="center"/>
        <w:textAlignment w:val="auto"/>
        <w:rPr>
          <w:rFonts w:ascii="Times New Roman" w:hAnsi="Times New Roman" w:eastAsia="Arial Unicode MS" w:cs="Times New Roman"/>
          <w:color w:val="000000"/>
          <w:sz w:val="44"/>
          <w:szCs w:val="44"/>
        </w:rPr>
        <w:sectPr>
          <w:pgSz w:w="11906" w:h="16838"/>
          <w:pgMar w:top="1440" w:right="1474" w:bottom="1440" w:left="1587" w:header="851" w:footer="992" w:gutter="0"/>
          <w:pgNumType w:fmt="decimal"/>
          <w:cols w:space="720" w:num="1"/>
          <w:docGrid w:type="lines" w:linePitch="312" w:charSpace="0"/>
        </w:sectPr>
      </w:pPr>
    </w:p>
    <w:p>
      <w:pPr>
        <w:tabs>
          <w:tab w:val="left" w:pos="4620"/>
        </w:tabs>
        <w:spacing w:line="560" w:lineRule="exact"/>
        <w:ind w:left="0"/>
        <w:jc w:val="center"/>
        <w:rPr>
          <w:rFonts w:hint="eastAsia" w:ascii="方正小标宋_GBK" w:hAnsi="方正小标宋_GBK" w:eastAsia="方正小标宋_GBK" w:cs="方正小标宋_GBK"/>
          <w:color w:val="000000" w:themeColor="text1"/>
          <w:spacing w:val="0"/>
          <w:position w:val="0"/>
          <w:sz w:val="44"/>
          <w:szCs w:val="44"/>
          <w:lang w:eastAsia="zh-CN"/>
          <w14:textOutline w14:w="8356" w14:cap="flat" w14:cmpd="sng">
            <w14:solidFill>
              <w14:srgbClr w14:val="000000"/>
            </w14:solidFill>
            <w14:prstDash w14:val="solid"/>
            <w14:miter w14:val="0"/>
          </w14:textOutline>
          <w14:textFill>
            <w14:solidFill>
              <w14:schemeClr w14:val="tx1"/>
            </w14:solidFill>
          </w14:textFill>
        </w:rPr>
      </w:pPr>
      <w:r>
        <w:rPr>
          <w:rFonts w:hint="eastAsia" w:ascii="方正小标宋_GBK" w:hAnsi="方正小标宋_GBK" w:eastAsia="方正小标宋_GBK" w:cs="方正小标宋_GBK"/>
          <w:color w:val="000000" w:themeColor="text1"/>
          <w:spacing w:val="0"/>
          <w:position w:val="0"/>
          <w:sz w:val="44"/>
          <w:szCs w:val="44"/>
          <w:lang w:eastAsia="zh-CN"/>
          <w14:textOutline w14:w="8356" w14:cap="flat" w14:cmpd="sng">
            <w14:solidFill>
              <w14:srgbClr w14:val="000000"/>
            </w14:solidFill>
            <w14:prstDash w14:val="solid"/>
            <w14:miter w14:val="0"/>
          </w14:textOutline>
          <w14:textFill>
            <w14:solidFill>
              <w14:schemeClr w14:val="tx1"/>
            </w14:solidFill>
          </w14:textFill>
        </w:rPr>
        <w:t>安徽</w:t>
      </w:r>
      <w:r>
        <w:rPr>
          <w:rFonts w:hint="eastAsia" w:ascii="方正小标宋_GBK" w:hAnsi="方正小标宋_GBK" w:eastAsia="方正小标宋_GBK" w:cs="方正小标宋_GBK"/>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省律师</w:t>
      </w:r>
      <w:r>
        <w:rPr>
          <w:rFonts w:hint="eastAsia" w:ascii="方正小标宋_GBK" w:hAnsi="方正小标宋_GBK" w:eastAsia="方正小标宋_GBK" w:cs="方正小标宋_GBK"/>
          <w:color w:val="000000" w:themeColor="text1"/>
          <w:spacing w:val="0"/>
          <w:position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事务所律师</w:t>
      </w:r>
      <w:r>
        <w:rPr>
          <w:rFonts w:hint="eastAsia" w:ascii="方正小标宋_GBK" w:hAnsi="方正小标宋_GBK" w:eastAsia="方正小标宋_GBK" w:cs="方正小标宋_GBK"/>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服务费标准制定指引</w:t>
      </w:r>
    </w:p>
    <w:p>
      <w:pPr>
        <w:pStyle w:val="2"/>
        <w:keepNext w:val="0"/>
        <w:keepLines w:val="0"/>
        <w:pageBreakBefore w:val="0"/>
        <w:widowControl/>
        <w:pBdr>
          <w:top w:val="none" w:color="auto" w:sz="0" w:space="0"/>
          <w:left w:val="none" w:color="auto" w:sz="0" w:space="0"/>
          <w:bottom w:val="none" w:color="auto" w:sz="0" w:space="0"/>
          <w:right w:val="none" w:color="auto" w:sz="0" w:space="0"/>
        </w:pBdr>
        <w:kinsoku w:val="0"/>
        <w:wordWrap/>
        <w:overflowPunct/>
        <w:topLinePunct w:val="0"/>
        <w:autoSpaceDE/>
        <w:autoSpaceDN/>
        <w:bidi w:val="0"/>
        <w:adjustRightInd w:val="0"/>
        <w:snapToGrid w:val="0"/>
        <w:spacing w:line="240" w:lineRule="auto"/>
        <w:ind w:left="0" w:firstLine="0" w:firstLineChars="0"/>
        <w:jc w:val="cente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pPr>
      <w:r>
        <w:rPr>
          <w:rFonts w:hint="eastAsia"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2023年</w:t>
      </w:r>
      <w:r>
        <w:rPr>
          <w:rFonts w:ascii="Times New Roman" w:hAnsi="Times New Roman" w:eastAsia="仿宋_GB2312" w:cs="Times New Roman"/>
          <w:b w:val="0"/>
          <w:i w:val="0"/>
          <w:iCs w:val="0"/>
          <w:caps w:val="0"/>
          <w:color w:val="000000" w:themeColor="text1"/>
          <w:spacing w:val="0"/>
          <w:kern w:val="2"/>
          <w:sz w:val="32"/>
          <w:szCs w:val="32"/>
          <w:shd w:val="clear" w:fill="auto"/>
          <w14:textFill>
            <w14:solidFill>
              <w14:schemeClr w14:val="tx1"/>
            </w14:solidFill>
          </w14:textFill>
        </w:rPr>
        <w:t>3月4日</w:t>
      </w: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第十届</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安徽省律师协会</w:t>
      </w: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常务理事会</w:t>
      </w:r>
    </w:p>
    <w:p>
      <w:pPr>
        <w:pStyle w:val="2"/>
        <w:keepNext w:val="0"/>
        <w:keepLines w:val="0"/>
        <w:pageBreakBefore w:val="0"/>
        <w:widowControl/>
        <w:pBdr>
          <w:top w:val="none" w:color="auto" w:sz="0" w:space="0"/>
          <w:left w:val="none" w:color="auto" w:sz="0" w:space="0"/>
          <w:bottom w:val="none" w:color="auto" w:sz="0" w:space="0"/>
          <w:right w:val="none" w:color="auto" w:sz="0" w:space="0"/>
        </w:pBdr>
        <w:kinsoku w:val="0"/>
        <w:wordWrap/>
        <w:overflowPunct/>
        <w:topLinePunct w:val="0"/>
        <w:autoSpaceDE/>
        <w:autoSpaceDN/>
        <w:bidi w:val="0"/>
        <w:adjustRightInd w:val="0"/>
        <w:snapToGrid w:val="0"/>
        <w:spacing w:line="240" w:lineRule="auto"/>
        <w:ind w:left="0" w:firstLine="0" w:firstLineChars="0"/>
        <w:jc w:val="center"/>
        <w:rPr>
          <w:rFonts w:hint="default" w:ascii="Times New Roman" w:hAnsi="Times New Roman" w:eastAsia="仿宋_GB2312" w:cs="Times New Roman"/>
          <w:b w:val="0"/>
          <w:bCs w:val="0"/>
          <w:color w:val="000000" w:themeColor="text1"/>
          <w:spacing w:val="0"/>
          <w:kern w:val="2"/>
          <w:position w:val="0"/>
          <w:sz w:val="32"/>
          <w:szCs w:val="32"/>
          <w:lang w:val="en-US" w:eastAsia="zh-CN"/>
          <w14:textFill>
            <w14:solidFill>
              <w14:schemeClr w14:val="tx1"/>
            </w14:solidFill>
          </w14:textFill>
        </w:rPr>
      </w:pP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第六次会议</w:t>
      </w:r>
      <w:r>
        <w:rPr>
          <w:rFonts w:hint="eastAsia" w:ascii="Times New Roman" w:hAnsi="Times New Roman" w:eastAsia="仿宋_GB2312" w:cs="Times New Roman"/>
          <w:b w:val="0"/>
          <w:i w:val="0"/>
          <w:iCs w:val="0"/>
          <w:caps w:val="0"/>
          <w:color w:val="000000" w:themeColor="text1"/>
          <w:spacing w:val="0"/>
          <w:kern w:val="2"/>
          <w:sz w:val="32"/>
          <w:szCs w:val="32"/>
          <w:lang w:eastAsia="zh-CN"/>
          <w14:textFill>
            <w14:solidFill>
              <w14:schemeClr w14:val="tx1"/>
            </w14:solidFill>
          </w14:textFill>
        </w:rPr>
        <w:t>审议</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通过）</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560" w:lineRule="exact"/>
        <w:ind w:left="0" w:leftChars="0" w:right="83" w:firstLine="634" w:firstLineChars="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为</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规范全省律师服务收费行为，</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健全律师事务所收费管理制度</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，根据《中华人民共和国律师法》《</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司法部</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Style w:val="6"/>
          <w:rFonts w:hint="default" w:ascii="Times New Roman" w:hAnsi="Times New Roman" w:eastAsia="仿宋_GB2312" w:cs="Times New Roman"/>
          <w:b w:val="0"/>
          <w:bCs w:val="0"/>
          <w:i w:val="0"/>
          <w:iCs w:val="0"/>
          <w:caps w:val="0"/>
          <w:color w:val="000000" w:themeColor="text1"/>
          <w:spacing w:val="0"/>
          <w:sz w:val="32"/>
          <w:szCs w:val="32"/>
          <w:shd w:val="clear" w:fill="FFFFFF"/>
          <w14:textFill>
            <w14:solidFill>
              <w14:schemeClr w14:val="tx1"/>
            </w14:solidFill>
          </w14:textFill>
        </w:rPr>
        <w:t>国家发展和改革委员会</w:t>
      </w:r>
      <w:r>
        <w:rPr>
          <w:rFonts w:hint="eastAsia" w:ascii="Times New Roman" w:hAnsi="Times New Roman" w:eastAsia="仿宋_GB2312" w:cs="Times New Roman"/>
          <w:b w:val="0"/>
          <w:bCs w:val="0"/>
          <w:i w:val="0"/>
          <w:iCs w:val="0"/>
          <w:caps w:val="0"/>
          <w:color w:val="000000" w:themeColor="text1"/>
          <w:spacing w:val="0"/>
          <w:sz w:val="32"/>
          <w:szCs w:val="32"/>
          <w:shd w:val="clear"/>
          <w:lang w:val="en-US" w:eastAsia="zh-CN"/>
          <w14:textFill>
            <w14:solidFill>
              <w14:schemeClr w14:val="tx1"/>
            </w14:solidFill>
          </w14:textFill>
        </w:rPr>
        <w:t xml:space="preserve"> </w:t>
      </w:r>
      <w:r>
        <w:rPr>
          <w:rStyle w:val="6"/>
          <w:rFonts w:hint="default" w:ascii="Times New Roman" w:hAnsi="Times New Roman" w:eastAsia="仿宋_GB2312" w:cs="Times New Roman"/>
          <w:b w:val="0"/>
          <w:bCs w:val="0"/>
          <w:i w:val="0"/>
          <w:iCs w:val="0"/>
          <w:caps w:val="0"/>
          <w:color w:val="000000" w:themeColor="text1"/>
          <w:spacing w:val="0"/>
          <w:sz w:val="32"/>
          <w:szCs w:val="32"/>
          <w:shd w:val="clear" w:fill="FFFFFF"/>
          <w14:textFill>
            <w14:solidFill>
              <w14:schemeClr w14:val="tx1"/>
            </w14:solidFill>
          </w14:textFill>
        </w:rPr>
        <w:t>国家市场监督管理总局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关于进一步规范律师服务收费的意见》</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司发通〔2021〕87号</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）和《安徽省律师协会章程》</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等规定，结合本省实际</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就指导</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本省律师事务所规范制定</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制定本指引。</w:t>
      </w:r>
    </w:p>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560" w:lineRule="exact"/>
        <w:ind w:left="0" w:leftChars="0" w:right="23" w:firstLine="634" w:firstLineChars="0"/>
        <w:rPr>
          <w:rFonts w:hint="default" w:ascii="Times New Roman" w:hAnsi="Times New Roman" w:eastAsia="仿宋_GB2312" w:cs="Times New Roman"/>
          <w:b/>
          <w:bCs/>
          <w:i/>
          <w:iCs/>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二</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经</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安徽省司法厅许可</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设立的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制定本所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服务费标准时</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适用</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本指引。</w:t>
      </w:r>
    </w:p>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560" w:lineRule="exact"/>
        <w:ind w:left="0" w:leftChars="0" w:right="83" w:firstLine="643" w:firstLineChars="200"/>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三</w:t>
      </w:r>
      <w:r>
        <w:rPr>
          <w:rFonts w:hint="default"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条</w:t>
      </w:r>
      <w:r>
        <w:rPr>
          <w:rFonts w:hint="default"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服务收费应当遵循公开公平、自愿有偿</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诚实信用原则。</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83" w:rightChars="0" w:firstLine="643" w:firstLineChars="200"/>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四</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条</w:t>
      </w:r>
      <w:r>
        <w:rPr>
          <w:rFonts w:hint="default"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律师事务所制定</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服务费标准不得利用低价进行不正当竞争。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83" w:rightChars="0" w:firstLine="640" w:firstLineChars="200"/>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律师事务所之间不得采取签订价格垄断协议或者其他协同行为实施不正当竞争，不得以任何行为相互串通、操纵价格。</w:t>
      </w:r>
    </w:p>
    <w:p>
      <w:pPr>
        <w:spacing w:line="560" w:lineRule="exact"/>
        <w:ind w:firstLine="643" w:firstLineChars="200"/>
        <w:rPr>
          <w:rFonts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五</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z w:val="32"/>
          <w:szCs w:val="32"/>
          <w14:textFill>
            <w14:solidFill>
              <w14:schemeClr w14:val="tx1"/>
            </w14:solidFill>
          </w14:textFill>
        </w:rPr>
        <w:t>律师服务收费按不同法律服务事项实行市场调节价。律师事务所应</w:t>
      </w:r>
      <w:r>
        <w:rPr>
          <w:rFonts w:hint="eastAsia" w:ascii="Times New Roman" w:hAnsi="Times New Roman" w:eastAsia="仿宋_GB2312" w:cs="Times New Roman"/>
          <w:color w:val="000000" w:themeColor="text1"/>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z w:val="32"/>
          <w:szCs w:val="32"/>
          <w14:textFill>
            <w14:solidFill>
              <w14:schemeClr w14:val="tx1"/>
            </w14:solidFill>
          </w14:textFill>
        </w:rPr>
        <w:t>依据本指引及《安徽省律师事务所</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z w:val="32"/>
          <w:szCs w:val="32"/>
          <w14:textFill>
            <w14:solidFill>
              <w14:schemeClr w14:val="tx1"/>
            </w14:solidFill>
          </w14:textFill>
        </w:rPr>
        <w:t>服务费标准（示范文本）》制定律师服务费标准，严格规范</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z w:val="32"/>
          <w:szCs w:val="32"/>
          <w14:textFill>
            <w14:solidFill>
              <w14:schemeClr w14:val="tx1"/>
            </w14:solidFill>
          </w14:textFill>
        </w:rPr>
        <w:t>服务收费行为，明确律师服务费范围。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94" w:firstLine="63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六</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律师事务所制定</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服务费标准，应当按照《</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服务费标准备案管理办法》进行备案。</w:t>
      </w:r>
    </w:p>
    <w:p>
      <w:pPr>
        <w:keepNext w:val="0"/>
        <w:keepLines w:val="0"/>
        <w:pageBreakBefore w:val="0"/>
        <w:widowControl/>
        <w:kinsoku/>
        <w:wordWrap/>
        <w:overflowPunct/>
        <w:topLinePunct w:val="0"/>
        <w:autoSpaceDE/>
        <w:autoSpaceDN/>
        <w:bidi w:val="0"/>
        <w:adjustRightInd/>
        <w:snapToGrid/>
        <w:spacing w:line="240" w:lineRule="auto"/>
        <w:ind w:right="0" w:firstLine="0"/>
        <w:rPr>
          <w:rFonts w:hint="default" w:asciiTheme="minorHAnsi" w:hAnsiTheme="minorHAnsi" w:eastAsiaTheme="minorEastAsia" w:cstheme="minorBidi"/>
          <w:kern w:val="2"/>
          <w:sz w:val="21"/>
          <w:szCs w:val="24"/>
          <w:lang w:val="en-US" w:eastAsia="zh-CN" w:bidi="ar-SA"/>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3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七</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律师事务所应当严格执行</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服务费标准公开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制度，将经备案的服务费标准在本所执业场所显著位置公示，接受社会监督。</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firstLineChars="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八</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律师事务所在制定律师服务费标准时，应当</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统筹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考虑</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下列主要</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因素：</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律师提供服务耗费的工作时间;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法律事务的难易程度;</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38" w:leftChars="304" w:right="3" w:firstLine="0" w:firstLineChars="0"/>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当地经济社会发展</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水平</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律师事务所和律师可能承担的风险和责任;</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38" w:leftChars="304" w:right="3" w:firstLine="0" w:firstLineChars="0"/>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（五）</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的</w:t>
      </w:r>
      <w:r>
        <w:rPr>
          <w:rFonts w:hint="default" w:ascii="Times New Roman" w:hAnsi="Times New Roman" w:eastAsia="仿宋_GB2312" w:cs="Times New Roman"/>
          <w:i w:val="0"/>
          <w:iCs w:val="0"/>
          <w:caps w:val="0"/>
          <w:color w:val="000000" w:themeColor="text1"/>
          <w:spacing w:val="0"/>
          <w:sz w:val="32"/>
          <w:szCs w:val="32"/>
          <w:highlight w:val="none"/>
          <w:shd w:val="clear" w:fill="auto"/>
          <w14:textFill>
            <w14:solidFill>
              <w14:schemeClr w14:val="tx1"/>
            </w14:solidFill>
          </w14:textFill>
        </w:rPr>
        <w:t>社会信誉、</w:t>
      </w:r>
      <w:r>
        <w:rPr>
          <w:rFonts w:hint="eastAsia" w:ascii="Times New Roman" w:hAnsi="Times New Roman" w:eastAsia="仿宋_GB2312" w:cs="Times New Roman"/>
          <w:i w:val="0"/>
          <w:iCs w:val="0"/>
          <w:caps w:val="0"/>
          <w:color w:val="000000" w:themeColor="text1"/>
          <w:spacing w:val="0"/>
          <w:sz w:val="32"/>
          <w:szCs w:val="32"/>
          <w:highlight w:val="none"/>
          <w:shd w:val="clear" w:fill="auto"/>
          <w:lang w:val="en-US" w:eastAsia="zh-CN"/>
          <w14:textFill>
            <w14:solidFill>
              <w14:schemeClr w14:val="tx1"/>
            </w14:solidFill>
          </w14:textFill>
        </w:rPr>
        <w:t>工作水平</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rPr>
          <w:rFonts w:hint="default" w:ascii="Times New Roman" w:hAnsi="Times New Roman" w:eastAsia="宋体" w:cs="Times New Roman"/>
          <w:i w:val="0"/>
          <w:iCs w:val="0"/>
          <w:caps w:val="0"/>
          <w:color w:val="000000" w:themeColor="text1"/>
          <w:spacing w:val="8"/>
          <w:sz w:val="24"/>
          <w:szCs w:val="24"/>
          <w:highlight w:val="none"/>
          <w:shd w:val="clear" w:fill="FFFFFF"/>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六</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其他影响律师</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事务所</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服务收费的因素。</w:t>
      </w:r>
      <w:r>
        <w:rPr>
          <w:rFonts w:hint="default" w:ascii="Times New Roman" w:hAnsi="Times New Roman" w:eastAsia="宋体" w:cs="Times New Roman"/>
          <w:i w:val="0"/>
          <w:iCs w:val="0"/>
          <w:caps w:val="0"/>
          <w:color w:val="000000" w:themeColor="text1"/>
          <w:spacing w:val="8"/>
          <w:sz w:val="24"/>
          <w:szCs w:val="24"/>
          <w:highlight w:val="none"/>
          <w:shd w:val="clear" w:fill="FFFFFF"/>
          <w14:textFill>
            <w14:solidFill>
              <w14:schemeClr w14:val="tx1"/>
            </w14:solidFill>
          </w14:textFill>
        </w:rPr>
        <w:t>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rPr>
          <w:rFonts w:hint="default" w:ascii="Times New Roman" w:hAnsi="Times New Roman" w:eastAsia="仿宋_GB2312" w:cs="Times New Roman"/>
          <w:i w:val="0"/>
          <w:iCs w:val="0"/>
          <w:caps w:val="0"/>
          <w:color w:val="000000" w:themeColor="text1"/>
          <w:spacing w:val="0"/>
          <w:sz w:val="32"/>
          <w:szCs w:val="32"/>
          <w:highlight w:val="none"/>
          <w:shd w:val="clear"/>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律师事务所可以</w:t>
      </w:r>
      <w:r>
        <w:rPr>
          <w:rFonts w:hint="eastAsia"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综合考量</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不同律师的专业</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能力</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、职称等因素，在</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一般</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收费标准</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基础上</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确定其相应的收费系数</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ind w:right="83" w:rightChars="0" w:firstLine="643"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九</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收</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费可以根据不同的服务内容及服务方式</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单独或者综合采取固定收费、计时收费、计件收费、按标的额比例收费、风险代理收费等方式。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0" w:firstLine="640" w:firstLineChars="200"/>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0"/>
          <w:position w:val="0"/>
          <w:sz w:val="32"/>
          <w:szCs w:val="32"/>
          <w14:textFill>
            <w14:solidFill>
              <w14:schemeClr w14:val="tx1"/>
            </w14:solidFill>
          </w14:textFill>
        </w:rPr>
        <w:t>一</w:t>
      </w:r>
      <w:r>
        <w:rPr>
          <w:rFonts w:hint="eastAsia"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0"/>
          <w:position w:val="0"/>
          <w:sz w:val="32"/>
          <w:szCs w:val="32"/>
          <w14:textFill>
            <w14:solidFill>
              <w14:schemeClr w14:val="tx1"/>
            </w14:solidFill>
          </w14:textFill>
        </w:rPr>
        <w:t>固定收费</w:t>
      </w: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是</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指为委托人在一定期限内提供法律服务所收取</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一定数额</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律师服务费用</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的收费方式</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（二</w:t>
      </w:r>
      <w:r>
        <w:rPr>
          <w:rFonts w:hint="eastAsia"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计时收费</w:t>
      </w:r>
      <w:r>
        <w:rPr>
          <w:rFonts w:hint="eastAsia"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是</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指根据</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提供法律服务耗费的有效工作时间确定收费标准</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的收费方式</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。采用计时收费的，律师事务所应向委托人出具工作清单。</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（三）计件收费</w:t>
      </w:r>
      <w:r>
        <w:rPr>
          <w:rFonts w:hint="eastAsia"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是</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指以每一项委托法律事务或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每一个法律服务阶段为基本单位确定收费标准</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的收费方式</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。计件收费一般适用于不涉及财产关系</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或者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虽然涉及财产关系但不考虑财产价值仅根据工作量</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工作内容等确定费用的法律事务，</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以及</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其他不适合按标的额计收律师服务费的法律事务。</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（四）按标的额比例收费</w:t>
      </w:r>
      <w:r>
        <w:rPr>
          <w:rFonts w:hint="eastAsia"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是</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指根据</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委托</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法律</w:t>
      </w:r>
      <w:r>
        <w:rPr>
          <w:rFonts w:hint="default" w:ascii="Times New Roman" w:hAnsi="Times New Roman" w:eastAsia="仿宋_GB2312" w:cs="Times New Roman"/>
          <w:color w:val="000000" w:themeColor="text1"/>
          <w:spacing w:val="0"/>
          <w:position w:val="0"/>
          <w:sz w:val="32"/>
          <w:szCs w:val="32"/>
          <w:lang w:val="en-US"/>
          <w14:textFill>
            <w14:solidFill>
              <w14:schemeClr w14:val="tx1"/>
            </w14:solidFill>
          </w14:textFill>
        </w:rPr>
        <w:t>事务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所涉标的额的一定比例收取律师服务费用的</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收费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方式。按标的额比例收费一般适用于涉及财产关系的法律事务。</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6"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（五）风险代理收费</w:t>
      </w:r>
      <w:r>
        <w:rPr>
          <w:rFonts w:hint="eastAsia"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是</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指律师事务所在接受委托时，只收取 一定金额的基本服务费用或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不收取基本服务费用，其余服务报酬由律师事务所与委托人就委托事项目标、效果和支付律师服务费的时间、比例、条件、方式等先行约定，根据目标、效果的实现情况，按约定金额或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比例</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收取服务费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的收费方式。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6"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0"/>
          <w:position w:val="0"/>
          <w:sz w:val="32"/>
          <w:szCs w:val="32"/>
          <w:lang w:eastAsia="zh-CN"/>
          <w14:textFill>
            <w14:solidFill>
              <w14:schemeClr w14:val="tx1"/>
            </w14:solidFill>
          </w14:textFill>
        </w:rPr>
        <w:t>（六）其他收费方式是</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指根据法律事务的实际情况，由律师事务所与委托人协商一致，在书面委托协议中确定的其他律师服务收费方式。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3"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第十条</w:t>
      </w:r>
      <w:r>
        <w:rPr>
          <w:rFonts w:hint="default" w:ascii="Times New Roman" w:hAnsi="Times New Roman" w:eastAsia="仿宋_GB2312" w:cs="Times New Roman"/>
          <w:b w:val="0"/>
          <w:bCs w:val="0"/>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符合下列情形之一的案件，</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可以认定为或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者</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视为</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重大、疑难</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复杂案件</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律师事务所可视情况在收费标准的基础上</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适当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上浮，并在公布的标准中对上浮比例进行明确</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由中级人民法院</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及</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中级</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人民法院以上的人民法院</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管辖的一审案件；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引起社会普遍关注、具有较大社会影响的案件；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新类型案件;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涉外或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涉港、澳、台的案件；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五</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办案机关决定需要其他专业人士参与的案件，但由一般翻译与鉴定人员参与的简易案件除外；</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六</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案情复杂、涉及</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个以上法律关系的案件；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七</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异地办理（即在律师事务所所在</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设区的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市</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级</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行政区划以外办理）的非明显简易的案件；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八</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申诉或</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申请再审</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九</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工作量明显较大的案件；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十</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符合法院、检察院、公安、司法行政等机关重大、疑难、复杂案件标准的案件</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0" w:firstLine="640" w:firstLineChars="200"/>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（十</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由律师事务所与委托人协商一致，经委托人认可的重大、疑难、复杂案件</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07" w:firstLine="0"/>
        <w:rPr>
          <w:rFonts w:hint="default" w:ascii="Times New Roman" w:hAnsi="Times New Roman" w:eastAsia="仿宋_GB2312" w:cs="Times New Roman"/>
          <w:b w:val="0"/>
          <w:bCs w:val="0"/>
          <w:color w:val="000000" w:themeColor="text1"/>
          <w:spacing w:val="0"/>
          <w:position w:val="0"/>
          <w:sz w:val="32"/>
          <w:szCs w:val="32"/>
          <w:lang w:val="en-US" w:eastAsia="zh-CN"/>
          <w14:textFill>
            <w14:solidFill>
              <w14:schemeClr w14:val="tx1"/>
            </w14:solidFill>
          </w14:textFill>
        </w:rPr>
      </w:pPr>
      <w:r>
        <w:rPr>
          <w:rFonts w:hint="eastAsia"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b w:val="0"/>
          <w:bCs w:val="0"/>
          <w:color w:val="000000" w:themeColor="text1"/>
          <w:spacing w:val="0"/>
          <w:position w:val="0"/>
          <w:sz w:val="32"/>
          <w:szCs w:val="32"/>
          <w:lang w:val="en-US" w:eastAsia="zh-CN"/>
          <w14:textFill>
            <w14:solidFill>
              <w14:schemeClr w14:val="tx1"/>
            </w14:solidFill>
          </w14:textFill>
        </w:rPr>
        <w:t xml:space="preserve">   律师事务所</w:t>
      </w:r>
      <w:r>
        <w:rPr>
          <w:rFonts w:hint="eastAsia" w:ascii="Times New Roman" w:hAnsi="Times New Roman" w:eastAsia="仿宋_GB2312" w:cs="Times New Roman"/>
          <w:b w:val="0"/>
          <w:bCs w:val="0"/>
          <w:color w:val="000000" w:themeColor="text1"/>
          <w:spacing w:val="0"/>
          <w:position w:val="0"/>
          <w:sz w:val="32"/>
          <w:szCs w:val="32"/>
          <w:lang w:val="en-US" w:eastAsia="zh-CN"/>
          <w14:textFill>
            <w14:solidFill>
              <w14:schemeClr w14:val="tx1"/>
            </w14:solidFill>
          </w14:textFill>
        </w:rPr>
        <w:t>以一般法律服务事项接受委托，在开展具体服务工作后发现属于重大、疑难、复杂案件的，可以在办理过程中及时与委托人协商，经委托人同意后变更收费条款，按照重大、疑难、复杂案件收费。</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07" w:firstLine="643" w:firstLineChars="200"/>
        <w:rPr>
          <w:rFonts w:hint="default" w:ascii="Times New Roman" w:hAnsi="Times New Roman" w:eastAsia="仿宋_GB2312" w:cs="Times New Roman"/>
          <w:b/>
          <w:bCs/>
          <w:i/>
          <w:iCs/>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一</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律师事务所接受委托应当与委托人在法律服务合同中载明收费条款</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不得超出在律师协会备案的服务费标准收费</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9"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二</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刑事诉讼案件、行政诉讼案件、国家赔偿案件、群体性诉讼案件、婚姻继承案件，以及请求给予社会保险待遇、最低生活保障待遇、赡养费、抚养费、扶养费、抚恤金、救济金</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工伤赔偿、劳动报酬的案件禁止实行或者变相实行风险代理。</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9"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三</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当与当事人签订专门的书面风险代理合同，并在风险代理合同中以醒目方式明确告知当事人风险代理的含义、禁止适用风险代理案件范围、风险代理最高收费金额限制等事项，并就当事人委托的法律服务事项可能发生的风险、双方约定的委托事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应达成的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目标、双方各自承担的风险和责任等进行提示。</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9"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四</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严格规范风险代理约定事项。律师事务所和律师不得滥用专业优势地位，对律师事务所与当事人各自承担的风险责任作出明显不合理的约定，不得在风险代理合同中排除或者限制当事人上诉、撤诉、调解、和解等诉讼权利，</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不得</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对当事人行使上述权利设置惩罚性赔偿等不合理的条件。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9"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五</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严格限制风险代理收费金额。律师事务所与当事人约定风险代理收费的，可以按照固定的金额收费</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也可以按照当事人最终实现的债权或者减免的债务金额的一定比例收费。</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六</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律师事务所在风险代理各个环节收取的律师服务费合计最高金额应当符合下列规定：</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标的额不足人民币100万元的部分</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不得超过标的额的18%;</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标的额在人民币100万元以上不足500万元的部分</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不得超过标的额的15%;</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标的额在人民币500万元以上不足1000万元的部分</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不得超过标的额的12%;</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标的额在人民币1000万元以上不足5000万元的部分</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不得超过标的额的9%;</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9" w:firstLine="644"/>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（五）</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标的额在人民币5000万元以上的部分</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不得超过标的额的6%。</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十七</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律师在办理法律事务过程中发生的诉讼费</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仲裁费、鉴定费、公证费、查档费、保全费、翻译费及其他代委托人支付的费用，不属于律师服务费，由委托人另行支付。</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八</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异地办案差旅费，不属于律师服务费，由委托人另行支付。律师异地办理法律事务所需差旅费，可以先行向委托人收取，也可以在办理完法律事务后同委托人</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据实</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结算。</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先行收取差旅费的，应当</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控制在合理范围内，不得借收取差旅费名义变相收取律师服务费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b/>
          <w:bCs/>
          <w:i/>
          <w:iCs/>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十九</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律师事务所及承办律师除律师服务费、代委托人支付的费用、异地办案差旅费外，不得以任何名义向委托人收取其他费用。严禁以向司法人员、仲裁员疏通关系等为由收取所谓的“办案费”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“顾问费”等任何其他费用。</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律师事务所</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收取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应</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向委托人出具合法票据。</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代委托人支付的费用以及异地办案差旅费应当提供有效凭证。</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一</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律师事务所应当依法接受指派承办法律援助案件。办理法律援助案件不得向受援人收取任何费用。</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w:t>
      </w:r>
      <w:r>
        <w:rPr>
          <w:rFonts w:hint="eastAsia"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二</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律师事务所办理涉及农民工、残疾人等弱势群体或者与公益活动有关的法律服务事项，可以酌情减免服务费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对当事人符合法律援助条件的，律师事务所应当及时告知当事人可以申请法律援助。</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w:t>
      </w:r>
      <w:r>
        <w:rPr>
          <w:rFonts w:hint="eastAsia"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三</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律师事务所与当事人协商收费，不能作出显失公平的约定，不得采取欺骗、诱导等方式促使当事人接受律师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服务价格，不得相互串通、操纵价格。律师事务所不得在协商收费时向当事人明示或者暗示与司法机关、仲裁机构及其工作人员有特殊关系，不得以签订“阴阳合同”等方式规避</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服务收费限制性规定。</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四</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律师事务所应当严格执行统一收案、统一收费规定。建立健全收案管理、收费管理、财务管理、专用业务文书</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档案管理等内部管理制度，确保律师业务全面登</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记、</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全程留痕。</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五</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做到案件编号与收费合同、收费票据一一对应，杜绝私自收案收费行为。</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第二十</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六</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律师服务费不得由律师直接向当事人收取</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确因交通不便等特殊情况，当事人提出由律师代为收取律师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服务费的，律师应当在代收后</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个工作日内将代收的服务费全部转入律师事务所账户。</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二十七</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因律师服务收费发生争议的，律师事务所和当事人可以协商解决。协商不成的，</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双方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可以提请</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律师事务所所在地的设区的市律师协会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进行调解</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也可以按照约定向仲裁机构申请仲裁或者依法向人民法院起诉</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二十八</w:t>
      </w:r>
      <w:r>
        <w:rPr>
          <w:rFonts w:hint="default"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条</w:t>
      </w:r>
      <w:r>
        <w:rPr>
          <w:rFonts w:hint="eastAsia" w:ascii="Times New Roman" w:hAnsi="Times New Roman" w:eastAsia="仿宋_GB2312" w:cs="Times New Roman"/>
          <w:b/>
          <w:bCs/>
          <w:color w:val="000000" w:themeColor="text1"/>
          <w:spacing w:val="0"/>
          <w:position w:val="0"/>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设区的市律师协会应当成立律师服务收费争议调解委员会，制定律师服务费争议调解规则，依法依规开展调解。</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二十九</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b w:val="0"/>
          <w:bCs w:val="0"/>
          <w:color w:val="000000" w:themeColor="text1"/>
          <w:spacing w:val="0"/>
          <w:position w:val="0"/>
          <w:sz w:val="32"/>
          <w:szCs w:val="32"/>
          <w:lang w:val="en-US" w:eastAsia="zh-CN"/>
          <w14:textFill>
            <w14:solidFill>
              <w14:schemeClr w14:val="tx1"/>
            </w14:solidFill>
          </w14:textFill>
        </w:rPr>
        <w:t>本指引中“以上”、“以下”含本数。</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第</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三十</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 xml:space="preserve">条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本指引</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自</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印发之日起施行，由</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省律师协会</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常务理事会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负责解释</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附件</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1</w:t>
      </w:r>
      <w:r>
        <w:rPr>
          <w:rFonts w:ascii="Times New Roman" w:hAnsi="Times New Roman" w:eastAsia="Times New Roman" w:cs="Times New Roman"/>
          <w:spacing w:val="12"/>
          <w:sz w:val="31"/>
          <w:szCs w:val="31"/>
        </w:rPr>
        <w:t>.</w:t>
      </w:r>
      <w:r>
        <w:rPr>
          <w:rFonts w:hint="eastAsia" w:ascii="Times New Roman" w:hAnsi="Times New Roman" w:eastAsia="宋体" w:cs="Times New Roman"/>
          <w:spacing w:val="12"/>
          <w:sz w:val="31"/>
          <w:szCs w:val="31"/>
          <w:lang w:val="en-US" w:eastAsia="zh-CN"/>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服务费标准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1616" w:firstLineChars="505"/>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w:t>
      </w:r>
      <w:r>
        <w:rPr>
          <w:rFonts w:ascii="Times New Roman" w:hAnsi="Times New Roman" w:eastAsia="Times New Roman" w:cs="Times New Roman"/>
          <w:spacing w:val="12"/>
          <w:sz w:val="31"/>
          <w:szCs w:val="31"/>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风险代理合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同</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（示范文本）</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1616" w:firstLineChars="505"/>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3</w:t>
      </w:r>
      <w:r>
        <w:rPr>
          <w:rFonts w:hint="eastAsia" w:ascii="Times New Roman" w:hAnsi="Times New Roman" w:eastAsia="仿宋_GB2312" w:cs="Times New Roman"/>
          <w:color w:val="000000" w:themeColor="text1"/>
          <w:spacing w:val="0"/>
          <w:sz w:val="32"/>
          <w:szCs w:val="32"/>
          <w:lang w:val="en-US" w:eastAsia="zh-CN"/>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风险代理告知书</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（示范文本）</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firstLine="1616" w:firstLineChars="505"/>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sectPr>
          <w:footerReference r:id="rId3" w:type="default"/>
          <w:pgSz w:w="11900" w:h="16830"/>
          <w:pgMar w:top="1701" w:right="1474" w:bottom="1134" w:left="1587" w:header="0" w:footer="668" w:gutter="0"/>
          <w:pgNumType w:fmt="numberInDash" w:start="2"/>
          <w:cols w:space="720" w:num="1"/>
        </w:sect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4</w:t>
      </w:r>
      <w:r>
        <w:rPr>
          <w:rFonts w:ascii="Times New Roman" w:hAnsi="Times New Roman" w:eastAsia="Times New Roman" w:cs="Times New Roman"/>
          <w:spacing w:val="12"/>
          <w:sz w:val="31"/>
          <w:szCs w:val="31"/>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安徽</w:t>
      </w: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省律师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事务所律师</w:t>
      </w: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服务费标准备案管理办法</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附件1</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方正小标宋_GBK" w:cs="Times New Roman"/>
          <w:b w:val="0"/>
          <w:bCs w:val="0"/>
          <w:color w:val="000000" w:themeColor="text1"/>
          <w:spacing w:val="0"/>
          <w:position w:val="0"/>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pacing w:val="0"/>
          <w:position w:val="0"/>
          <w:sz w:val="44"/>
          <w:szCs w:val="44"/>
          <w14:textOutline w14:w="7632" w14:cap="flat" w14:cmpd="sng">
            <w14:solidFill>
              <w14:srgbClr w14:val="000000"/>
            </w14:solidFill>
            <w14:prstDash w14:val="solid"/>
            <w14:miter w14:val="0"/>
          </w14:textOutline>
          <w14:textFill>
            <w14:solidFill>
              <w14:schemeClr w14:val="tx1"/>
            </w14:solidFill>
          </w14:textFill>
        </w:rPr>
        <w:t>××××律师事务所</w:t>
      </w:r>
      <w:r>
        <w:rPr>
          <w:rFonts w:hint="eastAsia" w:ascii="Times New Roman" w:hAnsi="Times New Roman" w:eastAsia="方正小标宋_GBK" w:cs="Times New Roman"/>
          <w:b w:val="0"/>
          <w:bCs w:val="0"/>
          <w:color w:val="000000" w:themeColor="text1"/>
          <w:spacing w:val="0"/>
          <w:position w:val="0"/>
          <w:sz w:val="44"/>
          <w:szCs w:val="44"/>
          <w:lang w:val="en-US" w:eastAsia="zh-CN"/>
          <w14:textOutline w14:w="7632" w14:cap="flat" w14:cmpd="sng">
            <w14:solidFill>
              <w14:srgbClr w14:val="000000"/>
            </w14:solidFill>
            <w14:prstDash w14:val="solid"/>
            <w14:miter w14:val="0"/>
          </w14:textOutline>
          <w14:textFill>
            <w14:solidFill>
              <w14:schemeClr w14:val="tx1"/>
            </w14:solidFill>
          </w14:textFill>
        </w:rPr>
        <w:t>律师</w:t>
      </w:r>
      <w:r>
        <w:rPr>
          <w:rFonts w:hint="default" w:ascii="Times New Roman" w:hAnsi="Times New Roman" w:eastAsia="方正小标宋_GBK" w:cs="Times New Roman"/>
          <w:b w:val="0"/>
          <w:bCs w:val="0"/>
          <w:color w:val="000000" w:themeColor="text1"/>
          <w:spacing w:val="0"/>
          <w:position w:val="0"/>
          <w:sz w:val="44"/>
          <w:szCs w:val="44"/>
          <w14:textOutline w14:w="7632" w14:cap="flat" w14:cmpd="sng">
            <w14:solidFill>
              <w14:srgbClr w14:val="000000"/>
            </w14:solidFill>
            <w14:prstDash w14:val="solid"/>
            <w14:miter w14:val="0"/>
          </w14:textOutline>
          <w14:textFill>
            <w14:solidFill>
              <w14:schemeClr w14:val="tx1"/>
            </w14:solidFill>
          </w14:textFill>
        </w:rPr>
        <w:t>服务费标准</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jc w:val="center"/>
        <w:rPr>
          <w:rFonts w:hint="eastAsia" w:ascii="Times New Roman" w:hAnsi="Times New Roman" w:eastAsia="仿宋_GB2312" w:cs="Times New Roman"/>
          <w:color w:val="000000" w:themeColor="text1"/>
          <w:spacing w:val="0"/>
          <w:position w:val="0"/>
          <w:sz w:val="28"/>
          <w:szCs w:val="28"/>
          <w:lang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示范文本</w:t>
      </w:r>
      <w:r>
        <w:rPr>
          <w:rFonts w:hint="eastAsia" w:ascii="Times New Roman" w:hAnsi="Times New Roman" w:eastAsia="仿宋_GB2312" w:cs="Times New Roman"/>
          <w:color w:val="000000" w:themeColor="text1"/>
          <w:spacing w:val="0"/>
          <w:position w:val="0"/>
          <w:sz w:val="28"/>
          <w:szCs w:val="28"/>
          <w:lang w:eastAsia="zh-CN"/>
          <w14:textFill>
            <w14:solidFill>
              <w14:schemeClr w14:val="tx1"/>
            </w14:solidFill>
          </w14:textFill>
        </w:rPr>
        <w:t>）</w:t>
      </w:r>
    </w:p>
    <w:tbl>
      <w:tblPr>
        <w:tblStyle w:val="8"/>
        <w:tblW w:w="1408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4"/>
        <w:gridCol w:w="6293"/>
        <w:gridCol w:w="1260"/>
        <w:gridCol w:w="57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38"/>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序号</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律师服务项目</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收费方式</w:t>
            </w:r>
          </w:p>
        </w:tc>
        <w:tc>
          <w:tcPr>
            <w:tcW w:w="577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收费标准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4083" w:type="dxa"/>
            <w:gridSpan w:val="4"/>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一、刑事案件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t>侦查阶段</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t>审查起诉阶段</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cstheme="minorEastAsia"/>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一审阶段</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cstheme="minorEastAsia"/>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lang w:eastAsia="zh-CN"/>
                <w14:textFill>
                  <w14:solidFill>
                    <w14:schemeClr w14:val="tx1"/>
                  </w14:solidFill>
                </w14:textFill>
              </w:rPr>
              <w:t>二审阶段</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cstheme="minorEastAsia"/>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lang w:eastAsia="zh-CN"/>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lang w:eastAsia="zh-CN"/>
                <w14:textFill>
                  <w14:solidFill>
                    <w14:schemeClr w14:val="tx1"/>
                  </w14:solidFill>
                </w14:textFill>
              </w:rPr>
              <w:t>再审阶段</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cstheme="minorEastAsia"/>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刑事控告</w:t>
            </w:r>
            <w:r>
              <w:rPr>
                <w:rFonts w:hint="eastAsia" w:asciiTheme="minorEastAsia" w:hAnsiTheme="minorEastAsia" w:eastAsiaTheme="minorEastAsia" w:cstheme="minorEastAsia"/>
                <w:color w:val="000000" w:themeColor="text1"/>
                <w:kern w:val="2"/>
                <w:sz w:val="24"/>
                <w:szCs w:val="24"/>
                <w:lang w:eastAsia="zh-CN"/>
                <w14:textFill>
                  <w14:solidFill>
                    <w14:schemeClr w14:val="tx1"/>
                  </w14:solidFill>
                </w14:textFill>
              </w:rPr>
              <w:t>、申诉案件</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cstheme="minorEastAsia"/>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lang w:eastAsia="zh-CN"/>
                <w14:textFill>
                  <w14:solidFill>
                    <w14:schemeClr w14:val="tx1"/>
                  </w14:solidFill>
                </w14:textFill>
              </w:rPr>
              <w:t>死刑复核案件</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cstheme="minorEastAsia"/>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8</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leftChars="0"/>
              <w:rPr>
                <w:rFonts w:hint="eastAsia" w:asciiTheme="minorEastAsia" w:hAnsiTheme="minorEastAsia" w:eastAsiaTheme="minorEastAsia" w:cstheme="minorEastAsia"/>
                <w:color w:val="000000" w:themeColor="text1"/>
                <w:spacing w:val="0"/>
                <w:kern w:val="2"/>
                <w:position w:val="0"/>
                <w:sz w:val="24"/>
                <w:szCs w:val="24"/>
                <w:lang w:val="en-US" w:eastAsia="zh-CN" w:bidi="ar-SA"/>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涉案企业合规</w:t>
            </w:r>
            <w:r>
              <w:rPr>
                <w:rFonts w:hint="eastAsia" w:asciiTheme="minorEastAsia" w:hAnsiTheme="minorEastAsia" w:eastAsiaTheme="minorEastAsia" w:cstheme="minorEastAsia"/>
                <w:color w:val="000000" w:themeColor="text1"/>
                <w:spacing w:val="0"/>
                <w:position w:val="0"/>
                <w:sz w:val="24"/>
                <w:szCs w:val="24"/>
                <w:lang w:eastAsia="zh-CN"/>
                <w14:textFill>
                  <w14:solidFill>
                    <w14:schemeClr w14:val="tx1"/>
                  </w14:solidFill>
                </w14:textFill>
              </w:rPr>
              <w:t>案件</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9</w:t>
            </w:r>
          </w:p>
        </w:tc>
        <w:tc>
          <w:tcPr>
            <w:tcW w:w="6293"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10" w:leftChars="0"/>
              <w:rPr>
                <w:rFonts w:hint="eastAsia" w:asciiTheme="minorEastAsia" w:hAnsiTheme="minorEastAsia" w:eastAsiaTheme="minorEastAsia" w:cstheme="minorEastAsia"/>
                <w:color w:val="000000" w:themeColor="text1"/>
                <w:kern w:val="2"/>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t>重大、疑难、复杂的刑事案件</w:t>
            </w:r>
          </w:p>
        </w:tc>
        <w:tc>
          <w:tcPr>
            <w:tcW w:w="1260"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eastAsia" w:asciiTheme="minorEastAsia" w:hAnsiTheme="minorEastAsia" w:cstheme="minorEastAsia"/>
                <w:color w:val="000000" w:themeColor="text1"/>
                <w:spacing w:val="0"/>
                <w:position w:val="0"/>
                <w:sz w:val="24"/>
                <w14:textFill>
                  <w14:solidFill>
                    <w14:schemeClr w14:val="tx1"/>
                  </w14:solidFill>
                </w14:textFill>
              </w:rPr>
            </w:pPr>
          </w:p>
        </w:tc>
        <w:tc>
          <w:tcPr>
            <w:tcW w:w="5776" w:type="dxa"/>
            <w:tcBorders>
              <w:top w:val="single" w:color="000000" w:sz="2" w:space="0"/>
              <w:bottom w:val="single" w:color="000000" w:sz="2" w:space="0"/>
            </w:tcBorders>
            <w:vAlign w:val="top"/>
          </w:tcPr>
          <w:p>
            <w:pPr>
              <w:widowControl/>
              <w:kinsoku w:val="0"/>
              <w:autoSpaceDE w:val="0"/>
              <w:autoSpaceDN w:val="0"/>
              <w:adjustRightInd w:val="0"/>
              <w:snapToGrid w:val="0"/>
              <w:spacing w:line="560" w:lineRule="exact"/>
              <w:ind w:left="110" w:leftChars="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75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spacing w:val="12"/>
                <w:sz w:val="31"/>
                <w:szCs w:val="31"/>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10</w:t>
            </w:r>
          </w:p>
        </w:tc>
        <w:tc>
          <w:tcPr>
            <w:tcW w:w="13329" w:type="dxa"/>
            <w:gridSpan w:val="3"/>
            <w:tcBorders>
              <w:top w:val="single" w:color="000000" w:sz="2" w:space="0"/>
              <w:bottom w:val="single" w:color="000000" w:sz="2" w:space="0"/>
            </w:tcBorders>
            <w:vAlign w:val="top"/>
          </w:tcPr>
          <w:p>
            <w:pPr>
              <w:widowControl/>
              <w:kinsoku w:val="0"/>
              <w:autoSpaceDE/>
              <w:autoSpaceDN/>
              <w:adjustRightInd w:val="0"/>
              <w:snapToGrid w:val="0"/>
              <w:spacing w:line="560" w:lineRule="exact"/>
              <w:ind w:left="108" w:leftChars="0"/>
              <w:rPr>
                <w:rFonts w:hint="eastAsia" w:asciiTheme="minorEastAsia" w:hAnsiTheme="minorEastAsia" w:eastAsiaTheme="minorEastAsia" w:cstheme="minorEastAsia"/>
                <w:color w:val="000000" w:themeColor="text1"/>
                <w:ker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同一律师代理多个诉讼阶段的，可分阶段收费或整体收费</w:t>
            </w:r>
            <w:r>
              <w:rPr>
                <w:rFonts w:hint="eastAsia" w:asciiTheme="minorEastAsia" w:hAnsiTheme="minorEastAsia" w:eastAsiaTheme="minorEastAsia" w:cstheme="minorEastAsia"/>
                <w:color w:val="000000" w:themeColor="text1"/>
                <w:kern w:val="2"/>
                <w:sz w:val="24"/>
                <w:szCs w:val="24"/>
                <w:lang w:eastAsia="zh-CN"/>
                <w14:textFill>
                  <w14:solidFill>
                    <w14:schemeClr w14:val="tx1"/>
                  </w14:solidFill>
                </w14:textFill>
              </w:rPr>
              <w:t>；</w:t>
            </w:r>
            <w:r>
              <w:rPr>
                <w:rFonts w:hint="eastAsia" w:asciiTheme="minorEastAsia" w:hAnsiTheme="minorEastAsia" w:eastAsiaTheme="minorEastAsia" w:cstheme="minorEastAsia"/>
                <w:color w:val="000000" w:themeColor="text1"/>
                <w:kern w:val="2"/>
                <w:sz w:val="24"/>
                <w:szCs w:val="24"/>
                <w14:textFill>
                  <w14:solidFill>
                    <w14:schemeClr w14:val="tx1"/>
                  </w14:solidFill>
                </w14:textFill>
              </w:rPr>
              <w:t>犯罪嫌疑人、被告人同时涉及数个罪名或数起犯罪事实，可分别计件收费</w:t>
            </w:r>
            <w:r>
              <w:rPr>
                <w:rFonts w:hint="eastAsia" w:asciiTheme="minorEastAsia" w:hAnsiTheme="minorEastAsia" w:eastAsiaTheme="minorEastAsia" w:cstheme="minorEastAsia"/>
                <w:color w:val="000000" w:themeColor="text1"/>
                <w:kern w:val="2"/>
                <w:sz w:val="24"/>
                <w:szCs w:val="24"/>
                <w:lang w:eastAsia="zh-CN"/>
                <w14:textFill>
                  <w14:solidFill>
                    <w14:schemeClr w14:val="tx1"/>
                  </w14:solidFill>
                </w14:textFill>
              </w:rPr>
              <w:t>。</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14:textFill>
            <w14:solidFill>
              <w14:schemeClr w14:val="tx1"/>
            </w14:solidFill>
          </w14:textFill>
        </w:rPr>
        <w:sectPr>
          <w:footerReference r:id="rId4" w:type="default"/>
          <w:pgSz w:w="16830" w:h="11900"/>
          <w:pgMar w:top="1701" w:right="1474" w:bottom="1134" w:left="1587" w:header="0" w:footer="717" w:gutter="0"/>
          <w:pgNumType w:fmt="numberInDash"/>
          <w:cols w:space="720" w:num="1"/>
        </w:sectPr>
      </w:pPr>
    </w:p>
    <w:tbl>
      <w:tblPr>
        <w:tblStyle w:val="8"/>
        <w:tblW w:w="14331"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34"/>
        <w:gridCol w:w="1432"/>
        <w:gridCol w:w="4894"/>
        <w:gridCol w:w="1256"/>
        <w:gridCol w:w="60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5578"/>
              <w:rPr>
                <w:rFonts w:hint="default" w:ascii="Times New Roman" w:hAnsi="Times New Roman" w:eastAsia="宋体" w:cs="Times New Roman"/>
                <w:color w:val="000000" w:themeColor="text1"/>
                <w:spacing w:val="0"/>
                <w:position w:val="0"/>
                <w:sz w:val="27"/>
                <w:szCs w:val="27"/>
                <w14:textFill>
                  <w14:solidFill>
                    <w14:schemeClr w14:val="tx1"/>
                  </w14:solidFill>
                </w14:textFill>
              </w:rPr>
            </w:pPr>
            <w:r>
              <w:rPr>
                <w:rFonts w:hint="default" w:ascii="Times New Roman" w:hAnsi="Times New Roman" w:eastAsia="宋体" w:cs="Times New Roman"/>
                <w:color w:val="000000" w:themeColor="text1"/>
                <w:spacing w:val="0"/>
                <w:position w:val="0"/>
                <w:sz w:val="27"/>
                <w:szCs w:val="27"/>
                <w14:textOutline w14:w="4902" w14:cap="flat" w14:cmpd="sng">
                  <w14:solidFill>
                    <w14:srgbClr w14:val="000000"/>
                  </w14:solidFill>
                  <w14:prstDash w14:val="solid"/>
                  <w14:miter w14:val="0"/>
                </w14:textOutline>
                <w14:textFill>
                  <w14:solidFill>
                    <w14:schemeClr w14:val="tx1"/>
                  </w14:solidFill>
                </w14:textFill>
              </w:rPr>
              <w:t>二、民商事、仲裁案件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不涉及财产关系的</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restart"/>
            <w:tcBorders>
              <w:top w:val="single" w:color="000000" w:sz="2"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p>
        </w:tc>
        <w:tc>
          <w:tcPr>
            <w:tcW w:w="6326" w:type="dxa"/>
            <w:gridSpan w:val="2"/>
            <w:vMerge w:val="restart"/>
            <w:tcBorders>
              <w:top w:val="single" w:color="000000" w:sz="2" w:space="0"/>
              <w:bottom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both"/>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涉及财产关系的</w:t>
            </w:r>
          </w:p>
        </w:tc>
        <w:tc>
          <w:tcPr>
            <w:tcW w:w="1256" w:type="dxa"/>
            <w:vMerge w:val="restart"/>
            <w:tcBorders>
              <w:top w:val="single" w:color="000000" w:sz="2" w:space="0"/>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采用差额累进制计算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万元以下的部分 (含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nil"/>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nil"/>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1256" w:type="dxa"/>
            <w:vMerge w:val="continue"/>
            <w:tcBorders>
              <w:top w:val="nil"/>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560" w:lineRule="exact"/>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pP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8</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万元以</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上</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重大、疑难、复杂的民事案件</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p>
        </w:tc>
        <w:tc>
          <w:tcPr>
            <w:tcW w:w="13597" w:type="dxa"/>
            <w:gridSpan w:val="4"/>
            <w:tcBorders>
              <w:top w:val="single" w:color="000000" w:sz="2"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上述</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2</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.1</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条、</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2.2条</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收费标准是代理民事诉讼、刑事附带民事诉讼一审阶段、</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行政附带民事诉讼</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一审阶段</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执行阶段的收费标准。单独代理二审、发回重审</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再审</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申诉</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案件，</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代理仲裁案件</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代理不予执行或</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者</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撤销仲裁裁决</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代理反诉、反请求案件的</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参照</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2.1条或者2.2条</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的收费标准。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restart"/>
            <w:tcBorders>
              <w:top w:val="single" w:color="auto" w:sz="4" w:space="0"/>
              <w:left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p>
        </w:tc>
        <w:tc>
          <w:tcPr>
            <w:tcW w:w="6326" w:type="dxa"/>
            <w:gridSpan w:val="2"/>
            <w:vMerge w:val="restart"/>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color w:val="000000" w:themeColor="text1"/>
                <w:spacing w:val="0"/>
                <w:position w:val="0"/>
                <w:sz w:val="26"/>
                <w:szCs w:val="26"/>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风险代理案件</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禁止群体性诉讼案件、婚姻继承案件</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以及请求给予社会保险待遇、最低生活保障待遇、赡养费</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抚养费</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扶养费</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抚恤金</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救济金</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工伤赔偿</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劳动报酬的案件实行或者变相实行风险代理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c>
          <w:tcPr>
            <w:tcW w:w="1256" w:type="dxa"/>
            <w:vMerge w:val="restart"/>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万元以下的部分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34" w:type="dxa"/>
            <w:vMerge w:val="continue"/>
            <w:tcBorders>
              <w:top w:val="single" w:color="auto" w:sz="4" w:space="0"/>
              <w:left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firstLine="520" w:firstLineChars="200"/>
              <w:rPr>
                <w:rFonts w:hint="default" w:ascii="Times New Roman" w:hAnsi="Times New Roman" w:eastAsia="宋体" w:cs="Times New Roman"/>
                <w:color w:val="000000" w:themeColor="text1"/>
                <w:spacing w:val="0"/>
                <w:position w:val="0"/>
                <w:sz w:val="26"/>
                <w:szCs w:val="26"/>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autoSpaceDN/>
              <w:bidi w:val="0"/>
              <w:adjustRightInd w:val="0"/>
              <w:snapToGrid w:val="0"/>
              <w:spacing w:line="640" w:lineRule="exact"/>
              <w:ind w:left="0"/>
              <w:jc w:val="center"/>
              <w:rPr>
                <w:rFonts w:hint="eastAsia" w:ascii="Times New Roman" w:hAnsi="Times New Roman" w:eastAsia="宋体" w:cs="Times New Roman"/>
                <w:color w:val="000000" w:themeColor="text1"/>
                <w:spacing w:val="0"/>
                <w:position w:val="0"/>
                <w:sz w:val="27"/>
                <w:szCs w:val="27"/>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7"/>
                <w:szCs w:val="27"/>
                <w14:textOutline w14:w="4902" w14:cap="flat" w14:cmpd="sng">
                  <w14:solidFill>
                    <w14:srgbClr w14:val="000000"/>
                  </w14:solidFill>
                  <w14:prstDash w14:val="solid"/>
                  <w14:miter w14:val="0"/>
                </w14:textOutline>
                <w14:textFill>
                  <w14:solidFill>
                    <w14:schemeClr w14:val="tx1"/>
                  </w14:solidFill>
                </w14:textFill>
              </w:rPr>
              <w:t>三、行政案件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代理行政</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案</w:t>
            </w:r>
            <w:r>
              <w:rPr>
                <w:rFonts w:hint="default" w:ascii="Times New Roman" w:hAnsi="Times New Roman" w:eastAsia="宋体" w:cs="Times New Roman"/>
                <w:color w:val="000000" w:themeColor="text1"/>
                <w:spacing w:val="0"/>
                <w:position w:val="0"/>
                <w:sz w:val="24"/>
                <w:szCs w:val="24"/>
                <w:lang w:eastAsia="zh-CN"/>
                <w14:textFill>
                  <w14:solidFill>
                    <w14:schemeClr w14:val="tx1"/>
                  </w14:solidFill>
                </w14:textFill>
              </w:rPr>
              <w:t>件</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重大、疑难、复杂的</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行政</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案件</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7"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3</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上述3.1条</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收费标准是代理</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行政诉讼</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一审阶段、执行阶段的收费标准。单独代理二审、发回重审</w:t>
            </w:r>
            <w:r>
              <w:rPr>
                <w:rFonts w:hint="default"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再审</w:t>
            </w:r>
            <w:r>
              <w:rPr>
                <w:rFonts w:hint="default"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申诉</w:t>
            </w:r>
            <w:r>
              <w:rPr>
                <w:rFonts w:hint="default"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z w:val="24"/>
                <w:lang w:val="en-US" w:eastAsia="zh-CN"/>
                <w14:textFill>
                  <w14:solidFill>
                    <w14:schemeClr w14:val="tx1"/>
                  </w14:solidFill>
                </w14:textFill>
              </w:rPr>
              <w:t>代</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理</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行政处罚、行政许可、行政征收、行政登记、行政确认</w:t>
            </w:r>
            <w:r>
              <w:rPr>
                <w:rFonts w:hint="default"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行政复议等行政处理类案件</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的</w:t>
            </w:r>
            <w:r>
              <w:rPr>
                <w:rFonts w:hint="default"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参照</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3.1条</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收费标准收取。</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autoSpaceDN/>
              <w:bidi w:val="0"/>
              <w:adjustRightInd w:val="0"/>
              <w:snapToGrid w:val="0"/>
              <w:spacing w:line="600" w:lineRule="exact"/>
              <w:ind w:left="0"/>
              <w:jc w:val="center"/>
              <w:rPr>
                <w:rFonts w:hint="eastAsia" w:ascii="Times New Roman" w:hAnsi="Times New Roman" w:eastAsia="宋体" w:cs="Times New Roman"/>
                <w:color w:val="000000" w:themeColor="text1"/>
                <w:spacing w:val="0"/>
                <w:position w:val="0"/>
                <w:sz w:val="27"/>
                <w:szCs w:val="27"/>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7"/>
                <w:szCs w:val="27"/>
                <w14:textOutline w14:w="4902" w14:cap="flat" w14:cmpd="sng">
                  <w14:solidFill>
                    <w14:srgbClr w14:val="000000"/>
                  </w14:solidFill>
                  <w14:prstDash w14:val="solid"/>
                  <w14:miter w14:val="0"/>
                </w14:textOutline>
                <w14:textFill>
                  <w14:solidFill>
                    <w14:schemeClr w14:val="tx1"/>
                  </w14:solidFill>
                </w14:textFill>
              </w:rPr>
              <w:t>四、国家赔偿案件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restart"/>
            <w:tcBorders>
              <w:top w:val="single" w:color="auto" w:sz="4" w:space="0"/>
              <w:left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6326" w:type="dxa"/>
            <w:gridSpan w:val="2"/>
            <w:vMerge w:val="restart"/>
            <w:tcBorders>
              <w:top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600" w:lineRule="exact"/>
              <w:jc w:val="both"/>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t>代理国家赔偿案件</w:t>
            </w:r>
          </w:p>
        </w:tc>
        <w:tc>
          <w:tcPr>
            <w:tcW w:w="1256" w:type="dxa"/>
            <w:vMerge w:val="restart"/>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万元以下的部分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600" w:lineRule="exact"/>
              <w:jc w:val="both"/>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snapToGrid w:val="0"/>
                <w:color w:val="000000" w:themeColor="text1"/>
                <w:spacing w:val="0"/>
                <w:kern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vMerge w:val="continue"/>
            <w:tcBorders>
              <w:top w:val="single" w:color="auto" w:sz="4" w:space="0"/>
              <w:left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326" w:type="dxa"/>
            <w:gridSpan w:val="2"/>
            <w:vMerge w:val="continue"/>
            <w:tcBorders>
              <w:top w:val="single" w:color="auto" w:sz="4" w:space="0"/>
              <w:bottom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p>
        </w:tc>
        <w:tc>
          <w:tcPr>
            <w:tcW w:w="1256" w:type="dxa"/>
            <w:vMerge w:val="continue"/>
            <w:tcBorders>
              <w:top w:val="single" w:color="auto" w:sz="4" w:space="0"/>
              <w:bottom w:val="single" w:color="auto" w:sz="4" w:space="0"/>
              <w:right w:val="single" w:color="auto" w:sz="4"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left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5 .</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万元至</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万元的部分</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含</w:t>
            </w:r>
            <w:r>
              <w:rPr>
                <w:rFonts w:hint="default" w:ascii="Times New Roman" w:hAnsi="Times New Roman" w:eastAsia="宋体" w:cs="Times New Roman"/>
                <w:color w:val="000000" w:themeColor="text1"/>
                <w:spacing w:val="0"/>
                <w:position w:val="0"/>
                <w:sz w:val="24"/>
                <w:szCs w:val="24"/>
                <w:u w:val="single"/>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万元</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5" w:hRule="atLeast"/>
        </w:trPr>
        <w:tc>
          <w:tcPr>
            <w:tcW w:w="734" w:type="dxa"/>
            <w:tcBorders>
              <w:top w:val="single" w:color="auto" w:sz="4"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60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p>
        </w:tc>
        <w:tc>
          <w:tcPr>
            <w:tcW w:w="6326" w:type="dxa"/>
            <w:gridSpan w:val="2"/>
            <w:tcBorders>
              <w:top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jc w:val="both"/>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pPr>
            <w: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t>重大、疑难、复杂的</w:t>
            </w:r>
            <w:r>
              <w:rPr>
                <w:rFonts w:hint="eastAsia" w:asciiTheme="minorEastAsia" w:hAnsiTheme="minorEastAsia" w:eastAsiaTheme="minorEastAsia" w:cstheme="minorEastAsia"/>
                <w:color w:val="000000" w:themeColor="text1"/>
                <w:spacing w:val="0"/>
                <w:position w:val="0"/>
                <w:sz w:val="24"/>
                <w:szCs w:val="24"/>
                <w:lang w:eastAsia="zh-CN"/>
                <w14:textFill>
                  <w14:solidFill>
                    <w14:schemeClr w14:val="tx1"/>
                  </w14:solidFill>
                </w14:textFill>
              </w:rPr>
              <w:t>国家赔偿</w:t>
            </w:r>
            <w:r>
              <w:rPr>
                <w:rFonts w:hint="eastAsia" w:asciiTheme="minorEastAsia" w:hAnsiTheme="minorEastAsia" w:eastAsiaTheme="minorEastAsia" w:cstheme="minorEastAsia"/>
                <w:color w:val="000000" w:themeColor="text1"/>
                <w:spacing w:val="0"/>
                <w:position w:val="0"/>
                <w:sz w:val="24"/>
                <w:szCs w:val="24"/>
                <w14:textFill>
                  <w14:solidFill>
                    <w14:schemeClr w14:val="tx1"/>
                  </w14:solidFill>
                </w14:textFill>
              </w:rPr>
              <w:t>案件</w:t>
            </w:r>
          </w:p>
        </w:tc>
        <w:tc>
          <w:tcPr>
            <w:tcW w:w="1256" w:type="dxa"/>
            <w:tcBorders>
              <w:top w:val="single" w:color="auto" w:sz="4"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5728"/>
              <w:rPr>
                <w:rFonts w:hint="default" w:ascii="Times New Roman" w:hAnsi="Times New Roman" w:eastAsia="宋体" w:cs="Times New Roman"/>
                <w:color w:val="000000" w:themeColor="text1"/>
                <w:spacing w:val="0"/>
                <w:position w:val="0"/>
                <w:sz w:val="27"/>
                <w:szCs w:val="27"/>
                <w14:textFill>
                  <w14:solidFill>
                    <w14:schemeClr w14:val="tx1"/>
                  </w14:solidFill>
                </w14:textFill>
              </w:rPr>
            </w:pPr>
            <w:r>
              <w:rPr>
                <w:rFonts w:hint="default" w:ascii="Times New Roman" w:hAnsi="Times New Roman" w:eastAsia="宋体" w:cs="Times New Roman"/>
                <w:color w:val="000000" w:themeColor="text1"/>
                <w:spacing w:val="0"/>
                <w:position w:val="0"/>
                <w:sz w:val="27"/>
                <w:szCs w:val="27"/>
                <w14:textOutline w14:w="4902" w14:cap="flat" w14:cmpd="sng">
                  <w14:solidFill>
                    <w14:srgbClr w14:val="000000"/>
                  </w14:solidFill>
                  <w14:prstDash w14:val="solid"/>
                  <w14:miter w14:val="0"/>
                </w14:textOutline>
                <w14:textFill>
                  <w14:solidFill>
                    <w14:schemeClr w14:val="tx1"/>
                  </w14:solidFill>
                </w14:textFill>
              </w:rPr>
              <w:t>五、非诉讼法律服务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1432" w:type="dxa"/>
            <w:vMerge w:val="restart"/>
            <w:tcBorders>
              <w:top w:val="single" w:color="000000" w:sz="2" w:space="0"/>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一般非诉讼业务</w:t>
            </w: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一般法律咨询、简单合同起草与修改</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p>
        </w:tc>
        <w:tc>
          <w:tcPr>
            <w:tcW w:w="143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复杂事务法律咨询、复杂合同起草与修改</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p>
        </w:tc>
        <w:tc>
          <w:tcPr>
            <w:tcW w:w="143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出具律师函、资信调查意见书、咨询建议书律师见证书、律师审查意见书等法律文书</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p>
        </w:tc>
        <w:tc>
          <w:tcPr>
            <w:tcW w:w="1432" w:type="dxa"/>
            <w:vMerge w:val="continue"/>
            <w:tcBorders>
              <w:top w:val="nil"/>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600" w:lineRule="exact"/>
              <w:ind w:left="91" w:right="119"/>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其他</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p>
        </w:tc>
        <w:tc>
          <w:tcPr>
            <w:tcW w:w="1432" w:type="dxa"/>
            <w:vMerge w:val="restart"/>
            <w:tcBorders>
              <w:top w:val="single" w:color="000000" w:sz="2" w:space="0"/>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专项非诉讼业务</w:t>
            </w: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法律尽职调查</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p>
        </w:tc>
        <w:tc>
          <w:tcPr>
            <w:tcW w:w="143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发行债券</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w:t>
            </w:r>
          </w:p>
        </w:tc>
        <w:tc>
          <w:tcPr>
            <w:tcW w:w="143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新三板挂牌</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8</w:t>
            </w:r>
          </w:p>
        </w:tc>
        <w:tc>
          <w:tcPr>
            <w:tcW w:w="143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主板、中小板、创业板上市</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9</w:t>
            </w:r>
          </w:p>
        </w:tc>
        <w:tc>
          <w:tcPr>
            <w:tcW w:w="1432" w:type="dxa"/>
            <w:vMerge w:val="continue"/>
            <w:tcBorders>
              <w:top w:val="nil"/>
              <w:bottom w:val="nil"/>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ight="12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接受非诉讼专项委托，代理或办理涉及其他证券类业务、投资融资、兼并重组、企业改制等非诉讼业务</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10</w:t>
            </w:r>
          </w:p>
        </w:tc>
        <w:tc>
          <w:tcPr>
            <w:tcW w:w="1432" w:type="dxa"/>
            <w:vMerge w:val="continue"/>
            <w:tcBorders>
              <w:top w:val="nil"/>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4"/>
                <w14:textFill>
                  <w14:solidFill>
                    <w14:schemeClr w14:val="tx1"/>
                  </w14:solidFill>
                </w14:textFill>
              </w:rPr>
            </w:pPr>
          </w:p>
        </w:tc>
        <w:tc>
          <w:tcPr>
            <w:tcW w:w="489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92"/>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专项法律顾问服务</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11</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0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其他</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ind w:left="5728"/>
              <w:jc w:val="both"/>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六、担任法律顾问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0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担任个体工商户、自然人法律顾问</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01"/>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担任</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中</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小微企业法律顾问</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101" w:leftChars="0"/>
              <w:rPr>
                <w:rFonts w:hint="default" w:ascii="Times New Roman" w:hAnsi="Times New Roman" w:eastAsia="宋体" w:cs="Times New Roman"/>
                <w:color w:val="000000" w:themeColor="text1"/>
                <w:spacing w:val="0"/>
                <w:kern w:val="2"/>
                <w:positio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担任大型企业、上市公司法律顾问</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2"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80" w:leftChars="0"/>
              <w:rPr>
                <w:rFonts w:hint="default" w:ascii="Times New Roman" w:hAnsi="Times New Roman" w:eastAsia="宋体" w:cs="Times New Roman"/>
                <w:color w:val="000000" w:themeColor="text1"/>
                <w:spacing w:val="0"/>
                <w:kern w:val="2"/>
                <w:positio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担任机关、事业单位、社会团体及其他组织法律顾问</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7"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6</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80" w:leftChars="0"/>
              <w:rPr>
                <w:rFonts w:hint="default" w:ascii="Times New Roman" w:hAnsi="Times New Roman" w:eastAsia="宋体" w:cs="Times New Roman"/>
                <w:color w:val="000000" w:themeColor="text1"/>
                <w:spacing w:val="0"/>
                <w:kern w:val="2"/>
                <w:position w:val="0"/>
                <w:sz w:val="24"/>
                <w:szCs w:val="24"/>
                <w:lang w:val="en-US" w:eastAsia="zh-CN" w:bidi="ar-SA"/>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其他</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5948"/>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七、其他类型案件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80"/>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破产</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管理法律事务</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eastAsia" w:ascii="Times New Roman" w:hAnsi="Times New Roman" w:eastAsia="宋体" w:cs="Times New Roman"/>
                <w:color w:val="000000" w:themeColor="text1"/>
                <w:spacing w:val="0"/>
                <w:position w:val="0"/>
                <w:sz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2</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rPr>
                <w:rFonts w:hint="default" w:ascii="Times New Roman" w:hAnsi="Times New Roman" w:cs="Times New Roman" w:eastAsiaTheme="minorEastAsia"/>
                <w:color w:val="000000" w:themeColor="text1"/>
                <w:spacing w:val="0"/>
                <w:position w:val="0"/>
                <w:sz w:val="24"/>
                <w:lang w:val="en-US"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lang w:val="en-US" w:eastAsia="zh-CN"/>
                <w14:textFill>
                  <w14:solidFill>
                    <w14:schemeClr w14:val="tx1"/>
                  </w14:solidFill>
                </w14:textFill>
              </w:rPr>
              <w:t>企业合规法律事务</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3</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rPr>
                <w:rFonts w:hint="default" w:ascii="Times New Roman" w:hAnsi="Times New Roman" w:eastAsia="宋体" w:cs="Times New Roman"/>
                <w:color w:val="000000" w:themeColor="text1"/>
                <w:spacing w:val="0"/>
                <w:position w:val="0"/>
                <w:sz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position w:val="0"/>
                <w:sz w:val="24"/>
                <w:lang w:val="en-US" w:eastAsia="zh-CN"/>
                <w14:textFill>
                  <w14:solidFill>
                    <w14:schemeClr w14:val="tx1"/>
                  </w14:solidFill>
                </w14:textFill>
              </w:rPr>
              <w:t>企业法律体检</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734"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jc w:val="center"/>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7</w:t>
            </w:r>
            <w:r>
              <w:rPr>
                <w:rFonts w:ascii="Times New Roman" w:hAnsi="Times New Roman" w:eastAsia="Times New Roman" w:cs="Times New Roman"/>
                <w:color w:val="000000" w:themeColor="text1"/>
                <w:spacing w:val="12"/>
                <w:sz w:val="24"/>
                <w:szCs w:val="24"/>
                <w14:textFill>
                  <w14:solidFill>
                    <w14:schemeClr w14:val="tx1"/>
                  </w14:solidFill>
                </w14:textFill>
              </w:rPr>
              <w:t xml:space="preserve">. </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4</w:t>
            </w:r>
          </w:p>
        </w:tc>
        <w:tc>
          <w:tcPr>
            <w:tcW w:w="6326" w:type="dxa"/>
            <w:gridSpan w:val="2"/>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rPr>
                <w:rFonts w:hint="default" w:ascii="Times New Roman" w:hAnsi="Times New Roman" w:eastAsia="宋体" w:cs="Times New Roman"/>
                <w:color w:val="000000" w:themeColor="text1"/>
                <w:spacing w:val="0"/>
                <w:position w:val="0"/>
                <w:sz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position w:val="0"/>
                <w:sz w:val="24"/>
                <w:lang w:val="en-US" w:eastAsia="zh-CN"/>
                <w14:textFill>
                  <w14:solidFill>
                    <w14:schemeClr w14:val="tx1"/>
                  </w14:solidFill>
                </w14:textFill>
              </w:rPr>
              <w:t>其他</w:t>
            </w:r>
          </w:p>
        </w:tc>
        <w:tc>
          <w:tcPr>
            <w:tcW w:w="1256"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c>
          <w:tcPr>
            <w:tcW w:w="6015" w:type="dxa"/>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sz w:val="2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6418"/>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Outline w14:w="4356" w14:cap="flat" w14:cmpd="sng">
                  <w14:solidFill>
                    <w14:srgbClr w14:val="000000"/>
                  </w14:solidFill>
                  <w14:prstDash w14:val="solid"/>
                  <w14:miter w14:val="0"/>
                </w14:textOutline>
                <w14:textFill>
                  <w14:solidFill>
                    <w14:schemeClr w14:val="tx1"/>
                  </w14:solidFill>
                </w14:textFill>
              </w:rPr>
              <w:t>特别说明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45" w:firstLine="240" w:firstLineChars="100"/>
              <w:jc w:val="both"/>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1</w:t>
            </w:r>
            <w:r>
              <w:rPr>
                <w:rFonts w:ascii="Times New Roman" w:hAnsi="Times New Roman" w:eastAsia="Times New Roman" w:cs="Times New Roman"/>
                <w:color w:val="000000" w:themeColor="text1"/>
                <w:spacing w:val="12"/>
                <w:sz w:val="31"/>
                <w:szCs w:val="31"/>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办理案件过程中发生的诉讼费、保全费、保全保险费、执行费、仲裁费、鉴定费、公证费、公告费、查档费、翻译费、差旅费</w:t>
            </w:r>
            <w:r>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t>、</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交通费、跨境通讯费、邮寄费、专家或专业机构咨询论证费等，不属于律师服务费，由</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委托人</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另行</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支付。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45" w:firstLine="240" w:firstLineChars="100"/>
              <w:rPr>
                <w:rFonts w:hint="eastAsia" w:ascii="Times New Roman" w:hAnsi="Times New Roman" w:eastAsia="宋体" w:cs="Times New Roman"/>
                <w:color w:val="000000" w:themeColor="text1"/>
                <w:spacing w:val="0"/>
                <w:position w:val="0"/>
                <w:sz w:val="24"/>
                <w:szCs w:val="24"/>
                <w:lang w:eastAsia="zh-CN"/>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2</w:t>
            </w:r>
            <w:r>
              <w:rPr>
                <w:rFonts w:ascii="Times New Roman" w:hAnsi="Times New Roman" w:eastAsia="Times New Roman" w:cs="Times New Roman"/>
                <w:color w:val="000000" w:themeColor="text1"/>
                <w:spacing w:val="12"/>
                <w:sz w:val="31"/>
                <w:szCs w:val="31"/>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律师事务所制定的</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服务</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费标准中收费方式涉及固定收费、计件收费、计时收费等其他收费方式的，须按照《</w:t>
            </w:r>
            <w:r>
              <w:rPr>
                <w:rFonts w:hint="default" w:ascii="Times New Roman" w:hAnsi="Times New Roman" w:eastAsia="宋体" w:cs="Times New Roman"/>
                <w:color w:val="000000" w:themeColor="text1"/>
                <w:spacing w:val="0"/>
                <w:position w:val="0"/>
                <w:sz w:val="24"/>
                <w:szCs w:val="24"/>
                <w:lang w:val="en-US" w:eastAsia="zh-CN"/>
                <w14:textFill>
                  <w14:solidFill>
                    <w14:schemeClr w14:val="tx1"/>
                  </w14:solidFill>
                </w14:textFill>
              </w:rPr>
              <w:t>安徽</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省律师</w:t>
            </w: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事务所律师</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服务费标准制定指引》的要求具体列明收费的项目和标准。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5"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45" w:firstLine="240" w:firstLineChars="100"/>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3</w:t>
            </w:r>
            <w:r>
              <w:rPr>
                <w:rFonts w:ascii="Times New Roman" w:hAnsi="Times New Roman" w:eastAsia="Times New Roman" w:cs="Times New Roman"/>
                <w:color w:val="000000" w:themeColor="text1"/>
                <w:spacing w:val="12"/>
                <w:sz w:val="31"/>
                <w:szCs w:val="31"/>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禁止</w:t>
            </w:r>
            <w:r>
              <w:rPr>
                <w:rFonts w:hint="default" w:ascii="Times New Roman" w:hAnsi="Times New Roman" w:eastAsia="宋体" w:cs="Times New Roman"/>
                <w:color w:val="000000" w:themeColor="text1"/>
                <w:kern w:val="2"/>
                <w:sz w:val="24"/>
                <w:szCs w:val="24"/>
                <w14:textFill>
                  <w14:solidFill>
                    <w14:schemeClr w14:val="tx1"/>
                  </w14:solidFill>
                </w14:textFill>
              </w:rPr>
              <w:t>担任刑事案件犯罪嫌疑人、被告人的辩护人及刑事案件自诉人、被害人的代理人</w:t>
            </w:r>
            <w:r>
              <w:rPr>
                <w:rFonts w:hint="eastAsia" w:ascii="Times New Roman" w:hAnsi="Times New Roman" w:eastAsia="宋体" w:cs="Times New Roman"/>
                <w:color w:val="000000" w:themeColor="text1"/>
                <w:kern w:val="2"/>
                <w:sz w:val="24"/>
                <w:szCs w:val="24"/>
                <w:lang w:eastAsia="zh-CN"/>
                <w14:textFill>
                  <w14:solidFill>
                    <w14:schemeClr w14:val="tx1"/>
                  </w14:solidFill>
                </w14:textFill>
              </w:rPr>
              <w:t>的</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诉讼案件、行政诉讼案件、国家赔偿案件、群体性诉讼案件、婚姻继承案件以及请求给予社会保险待遇、最低生活保障待遇、赡养费、抚养费、扶养费、抚恤金、救济金、工伤赔偿、劳动报酬的案件实行或者变相实行风险代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46" w:firstLine="240" w:firstLineChars="100"/>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4</w:t>
            </w:r>
            <w:r>
              <w:rPr>
                <w:rFonts w:ascii="Times New Roman" w:hAnsi="Times New Roman" w:eastAsia="Times New Roman" w:cs="Times New Roman"/>
                <w:color w:val="000000" w:themeColor="text1"/>
                <w:spacing w:val="12"/>
                <w:sz w:val="31"/>
                <w:szCs w:val="31"/>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涉及农民工、残疾人等弱势群体或者与公益活动有关的法律服务事项，可以酌情减免律师服务费。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240" w:firstLineChars="100"/>
              <w:rPr>
                <w:rFonts w:hint="default" w:ascii="Times New Roman" w:hAnsi="Times New Roman" w:eastAsia="宋体" w:cs="Times New Roman"/>
                <w:color w:val="000000" w:themeColor="text1"/>
                <w:spacing w:val="0"/>
                <w:position w:val="0"/>
                <w:sz w:val="24"/>
                <w:szCs w:val="24"/>
                <w14:textFill>
                  <w14:solidFill>
                    <w14:schemeClr w14:val="tx1"/>
                  </w14:solidFill>
                </w14:textFill>
              </w:rPr>
            </w:pP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5</w:t>
            </w:r>
            <w:r>
              <w:rPr>
                <w:rFonts w:ascii="Times New Roman" w:hAnsi="Times New Roman" w:eastAsia="Times New Roman" w:cs="Times New Roman"/>
                <w:color w:val="000000" w:themeColor="text1"/>
                <w:spacing w:val="12"/>
                <w:sz w:val="31"/>
                <w:szCs w:val="31"/>
                <w14:textFill>
                  <w14:solidFill>
                    <w14:schemeClr w14:val="tx1"/>
                  </w14:solidFill>
                </w14:textFill>
              </w:rPr>
              <w:t xml:space="preserve">. </w:t>
            </w:r>
            <w:r>
              <w:rPr>
                <w:rFonts w:hint="default" w:ascii="Times New Roman" w:hAnsi="Times New Roman" w:eastAsia="宋体" w:cs="Times New Roman"/>
                <w:color w:val="000000" w:themeColor="text1"/>
                <w:spacing w:val="0"/>
                <w:position w:val="0"/>
                <w:sz w:val="24"/>
                <w:szCs w:val="24"/>
                <w14:textFill>
                  <w14:solidFill>
                    <w14:schemeClr w14:val="tx1"/>
                  </w14:solidFill>
                </w14:textFill>
              </w:rPr>
              <w:t>对当事人符合法律援助条件的，律师事务所应当及时告知当事人可以申请法律援助。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14331" w:type="dxa"/>
            <w:gridSpan w:val="5"/>
            <w:tcBorders>
              <w:top w:val="single" w:color="000000" w:sz="2" w:space="0"/>
              <w:bottom w:val="single" w:color="000000" w:sz="2" w:space="0"/>
            </w:tcBorders>
            <w:vAlign w:val="top"/>
          </w:tcPr>
          <w:p>
            <w:pPr>
              <w:keepNext w:val="0"/>
              <w:keepLines w:val="0"/>
              <w:pageBreakBefore w:val="0"/>
              <w:widowControl/>
              <w:kinsoku w:val="0"/>
              <w:wordWrap/>
              <w:overflowPunct/>
              <w:topLinePunct w:val="0"/>
              <w:autoSpaceDE w:val="0"/>
              <w:autoSpaceDN w:val="0"/>
              <w:bidi w:val="0"/>
              <w:adjustRightInd w:val="0"/>
              <w:snapToGrid w:val="0"/>
              <w:spacing w:line="560" w:lineRule="exact"/>
              <w:ind w:left="0" w:firstLine="240" w:firstLineChars="100"/>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pacing w:val="0"/>
                <w:position w:val="0"/>
                <w:sz w:val="24"/>
                <w:szCs w:val="24"/>
                <w:lang w:val="en-US" w:eastAsia="zh-CN"/>
                <w14:textFill>
                  <w14:solidFill>
                    <w14:schemeClr w14:val="tx1"/>
                  </w14:solidFill>
                </w14:textFill>
              </w:rPr>
              <w:t>6</w:t>
            </w:r>
            <w:r>
              <w:rPr>
                <w:rFonts w:ascii="Times New Roman" w:hAnsi="Times New Roman" w:eastAsia="Times New Roman" w:cs="Times New Roman"/>
                <w:color w:val="000000" w:themeColor="text1"/>
                <w:spacing w:val="12"/>
                <w:sz w:val="31"/>
                <w:szCs w:val="31"/>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14:textFill>
                  <w14:solidFill>
                    <w14:schemeClr w14:val="tx1"/>
                  </w14:solidFill>
                </w14:textFill>
              </w:rPr>
              <w:t>律师事务所可以根据不同律师的专业</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能力</w:t>
            </w:r>
            <w:r>
              <w:rPr>
                <w:rFonts w:hint="default" w:ascii="Times New Roman" w:hAnsi="Times New Roman" w:eastAsia="宋体" w:cs="Times New Roman"/>
                <w:color w:val="000000" w:themeColor="text1"/>
                <w:sz w:val="24"/>
                <w:szCs w:val="24"/>
                <w:highlight w:val="none"/>
                <w14:textFill>
                  <w14:solidFill>
                    <w14:schemeClr w14:val="tx1"/>
                  </w14:solidFill>
                </w14:textFill>
              </w:rPr>
              <w:t>、职称等因素，在一般收费标准基础上确定其相应的收费系数</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tc>
      </w:tr>
    </w:tbl>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cs="Times New Roman"/>
          <w:color w:val="000000" w:themeColor="text1"/>
          <w:spacing w:val="0"/>
          <w:position w:val="0"/>
          <w14:textFill>
            <w14:solidFill>
              <w14:schemeClr w14:val="tx1"/>
            </w14:solidFill>
          </w14:textFill>
        </w:rPr>
        <w:sectPr>
          <w:footerReference r:id="rId5" w:type="default"/>
          <w:pgSz w:w="16830" w:h="11900"/>
          <w:pgMar w:top="1701" w:right="1474" w:bottom="1134" w:left="1587" w:header="0" w:footer="750" w:gutter="0"/>
          <w:pgNumType w:fmt="numberInDash"/>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附件</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jc w:val="center"/>
        <w:rPr>
          <w:rFonts w:hint="default" w:ascii="Times New Roman" w:hAnsi="Times New Roman" w:eastAsia="方正公文小标宋" w:cs="Times New Roman"/>
          <w:b w:val="0"/>
          <w:bCs w:val="0"/>
          <w:color w:val="000000" w:themeColor="text1"/>
          <w:spacing w:val="0"/>
          <w:position w:val="0"/>
          <w:sz w:val="44"/>
          <w:szCs w:val="44"/>
          <w14:textFill>
            <w14:solidFill>
              <w14:schemeClr w14:val="tx1"/>
            </w14:solidFill>
          </w14:textFill>
        </w:rPr>
      </w:pPr>
      <w:r>
        <w:rPr>
          <w:rFonts w:hint="default" w:ascii="Times New Roman" w:hAnsi="Times New Roman" w:eastAsia="方正小标宋_GBK" w:cs="Times New Roman"/>
          <w:b w:val="0"/>
          <w:bCs w:val="0"/>
          <w:color w:val="000000" w:themeColor="text1"/>
          <w:spacing w:val="0"/>
          <w:position w:val="0"/>
          <w:sz w:val="44"/>
          <w:szCs w:val="44"/>
          <w:lang w:eastAsia="zh-CN"/>
          <w14:textOutline w14:w="7632" w14:cap="flat" w14:cmpd="sng">
            <w14:solidFill>
              <w14:srgbClr w14:val="000000"/>
            </w14:solidFill>
            <w14:prstDash w14:val="solid"/>
            <w14:miter w14:val="0"/>
          </w14:textOutline>
          <w14:textFill>
            <w14:solidFill>
              <w14:schemeClr w14:val="tx1"/>
            </w14:solidFill>
          </w14:textFill>
        </w:rPr>
        <w:t>风险代理合同</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jc w:val="center"/>
        <w:rPr>
          <w:rFonts w:hint="eastAsia" w:ascii="Times New Roman" w:hAnsi="Times New Roman" w:eastAsia="仿宋_GB2312" w:cs="Times New Roman"/>
          <w:color w:val="000000" w:themeColor="text1"/>
          <w:spacing w:val="0"/>
          <w:position w:val="0"/>
          <w:sz w:val="28"/>
          <w:szCs w:val="28"/>
          <w:lang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28"/>
          <w:szCs w:val="28"/>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28"/>
          <w:szCs w:val="28"/>
          <w14:textFill>
            <w14:solidFill>
              <w14:schemeClr w14:val="tx1"/>
            </w14:solidFill>
          </w14:textFill>
        </w:rPr>
        <w:t>示范文本</w:t>
      </w:r>
      <w:r>
        <w:rPr>
          <w:rFonts w:hint="eastAsia" w:ascii="Times New Roman" w:hAnsi="Times New Roman" w:eastAsia="仿宋_GB2312" w:cs="Times New Roman"/>
          <w:color w:val="000000" w:themeColor="text1"/>
          <w:spacing w:val="0"/>
          <w:position w:val="0"/>
          <w:sz w:val="28"/>
          <w:szCs w:val="28"/>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甲方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(委托人):</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82"/>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乙方(受托人):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p>
    <w:p>
      <w:pPr>
        <w:keepNext w:val="0"/>
        <w:keepLines w:val="0"/>
        <w:pageBreakBefore w:val="0"/>
        <w:widowControl/>
        <w:kinsoku w:val="0"/>
        <w:wordWrap/>
        <w:overflowPunct/>
        <w:topLinePunct w:val="0"/>
        <w:autoSpaceDE w:val="0"/>
        <w:autoSpaceDN w:val="0"/>
        <w:bidi w:val="0"/>
        <w:adjustRightInd w:val="0"/>
        <w:snapToGrid w:val="0"/>
        <w:spacing w:line="540" w:lineRule="exact"/>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依据《中华人民共和国民法典》《中华人民共和国律师法》规定，经过双方</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协</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商</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在平等自愿的基础上，本着诚实信用的原则，达成本</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合同</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、甲方</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委托</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办理</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的法律</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为：</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right="143" w:firstLine="640" w:firstLineChars="200"/>
        <w:textAlignment w:val="baseline"/>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、乙方接受甲方委托，指派</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none" w:color="auto"/>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提供法律服务。</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u w:val="none"/>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代理权限：</w:t>
      </w:r>
      <w:r>
        <w:rPr>
          <w:rFonts w:hint="default" w:ascii="Times New Roman" w:hAnsi="Times New Roman" w:eastAsia="仿宋_GB2312" w:cs="Times New Roman"/>
          <w:color w:val="000000" w:themeColor="text1"/>
          <w:spacing w:val="0"/>
          <w:position w:val="0"/>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u w:val="none"/>
          <w:lang w:val="en-US" w:eastAsia="zh-CN"/>
          <w14:textFill>
            <w14:solidFill>
              <w14:schemeClr w14:val="tx1"/>
            </w14:solidFill>
          </w14:textFill>
        </w:rPr>
        <w:t>详见授权委托书。</w:t>
      </w:r>
    </w:p>
    <w:p>
      <w:pPr>
        <w:keepNext w:val="0"/>
        <w:keepLines w:val="0"/>
        <w:pageBreakBefore w:val="0"/>
        <w:widowControl/>
        <w:kinsoku w:val="0"/>
        <w:wordWrap/>
        <w:overflowPunct/>
        <w:topLinePunct w:val="0"/>
        <w:autoSpaceDE w:val="0"/>
        <w:autoSpaceDN w:val="0"/>
        <w:bidi w:val="0"/>
        <w:adjustRightInd w:val="0"/>
        <w:snapToGrid w:val="0"/>
        <w:spacing w:line="540" w:lineRule="exact"/>
        <w:ind w:firstLine="640" w:firstLineChars="200"/>
        <w:textAlignment w:val="baseline"/>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、代理收费方式</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风险代理。</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五</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、甲方委托的法律</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，不属于</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禁止</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风险代理的案件范围。</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六</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、乙方收取</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服务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费，已充分考虑了</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下列</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因素：</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律师提供服务耗费的工作时间;</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法律事务的难易程度;</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38" w:leftChars="304" w:right="3" w:firstLine="0" w:firstLineChars="0"/>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当地经济社会发展水平</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3" w:firstLine="634"/>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律师事务所和律师可能承担的风险和责任;</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638" w:leftChars="304" w:right="3" w:firstLine="0" w:firstLineChars="0"/>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（五）</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律师</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的</w:t>
      </w:r>
      <w:r>
        <w:rPr>
          <w:rFonts w:hint="default" w:ascii="Times New Roman" w:hAnsi="Times New Roman" w:eastAsia="仿宋_GB2312" w:cs="Times New Roman"/>
          <w:i w:val="0"/>
          <w:iCs w:val="0"/>
          <w:caps w:val="0"/>
          <w:color w:val="000000" w:themeColor="text1"/>
          <w:spacing w:val="0"/>
          <w:sz w:val="32"/>
          <w:szCs w:val="32"/>
          <w:highlight w:val="none"/>
          <w:shd w:val="clear" w:fill="auto"/>
          <w14:textFill>
            <w14:solidFill>
              <w14:schemeClr w14:val="tx1"/>
            </w14:solidFill>
          </w14:textFill>
        </w:rPr>
        <w:t>社会信誉、</w:t>
      </w:r>
      <w:r>
        <w:rPr>
          <w:rFonts w:hint="eastAsia" w:ascii="Times New Roman" w:hAnsi="Times New Roman" w:eastAsia="仿宋_GB2312" w:cs="Times New Roman"/>
          <w:i w:val="0"/>
          <w:iCs w:val="0"/>
          <w:caps w:val="0"/>
          <w:color w:val="000000" w:themeColor="text1"/>
          <w:spacing w:val="0"/>
          <w:sz w:val="32"/>
          <w:szCs w:val="32"/>
          <w:highlight w:val="none"/>
          <w:shd w:val="clear" w:fill="auto"/>
          <w:lang w:val="en-US" w:eastAsia="zh-CN"/>
          <w14:textFill>
            <w14:solidFill>
              <w14:schemeClr w14:val="tx1"/>
            </w14:solidFill>
          </w14:textFill>
        </w:rPr>
        <w:t>工作水平和获评职称</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六</w:t>
      </w:r>
      <w:r>
        <w:rPr>
          <w:rFonts w:hint="default"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其他影响律师</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事务所</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服务收费的因素。</w:t>
      </w:r>
      <w:r>
        <w:rPr>
          <w:rFonts w:hint="default" w:ascii="Times New Roman" w:hAnsi="Times New Roman" w:eastAsia="宋体" w:cs="Times New Roman"/>
          <w:i w:val="0"/>
          <w:iCs w:val="0"/>
          <w:caps w:val="0"/>
          <w:color w:val="000000" w:themeColor="text1"/>
          <w:spacing w:val="8"/>
          <w:sz w:val="24"/>
          <w:szCs w:val="24"/>
          <w:highlight w:val="none"/>
          <w:shd w:val="clear" w:fill="FFFFFF"/>
          <w14:textFill>
            <w14:solidFill>
              <w14:schemeClr w14:val="tx1"/>
            </w14:solidFill>
          </w14:textFill>
        </w:rPr>
        <w:t>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七、甲乙双方协商</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一致</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，就基本服务费用、风险代理费用及办理委托</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法律</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事务产生的其他费用的计算标准和支付方式约定如下</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甲方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向</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乙方支付基本服务费用</w:t>
      </w:r>
      <w:r>
        <w:rPr>
          <w:rFonts w:hint="default" w:ascii="Times New Roman" w:hAnsi="Times New Roman" w:eastAsia="仿宋_GB2312" w:cs="Times New Roman"/>
          <w:color w:val="000000" w:themeColor="text1"/>
          <w:spacing w:val="0"/>
          <w:position w:val="0"/>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元，于</w:t>
      </w:r>
      <w:r>
        <w:rPr>
          <w:rFonts w:hint="default" w:ascii="Times New Roman" w:hAnsi="Times New Roman" w:eastAsia="仿宋_GB2312" w:cs="Times New Roman"/>
          <w:color w:val="000000" w:themeColor="text1"/>
          <w:spacing w:val="0"/>
          <w:position w:val="0"/>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时支付。</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本案标的额为</w:t>
      </w:r>
      <w:r>
        <w:rPr>
          <w:rFonts w:hint="default" w:ascii="Times New Roman" w:hAnsi="Times New Roman" w:eastAsia="仿宋_GB2312" w:cs="Times New Roman"/>
          <w:color w:val="000000" w:themeColor="text1"/>
          <w:spacing w:val="0"/>
          <w:position w:val="0"/>
          <w:sz w:val="32"/>
          <w:szCs w:val="32"/>
          <w:u w:val="single"/>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元，甲方应支付的风险代理费用为</w:t>
      </w:r>
      <w:r>
        <w:rPr>
          <w:rFonts w:hint="default" w:ascii="Times New Roman" w:hAnsi="Times New Roman" w:eastAsia="仿宋_GB2312" w:cs="Times New Roman"/>
          <w:color w:val="000000" w:themeColor="text1"/>
          <w:spacing w:val="0"/>
          <w:position w:val="0"/>
          <w:sz w:val="32"/>
          <w:szCs w:val="32"/>
          <w:u w:val="single"/>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按照</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下列</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目标/效果支付</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1.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2.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乙方提供的法律服务达到</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上述</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目标/效果的，甲方按照双方约定将风险代理费用支付至乙方指定银行账户。</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三</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乙方在办理委托事务时产生的必要</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且</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合理的诉讼费、保全费、保全保险费、执行费、仲裁费、鉴定费、公证费、公告费、查档费、翻译费、差旅费</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交通费、跨境通讯费、邮寄费、专家或专业机构咨询论证费等费用由甲方承担</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八、乙方就本案存在的诉讼风险</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已经充分知晓</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详见风险代理告知书。</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九、甲方权利和义务</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right="0" w:firstLine="0" w:firstLineChars="0"/>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十、乙方权利和义务</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十一、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违约责任</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0" w:firstLine="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十二、其他约定</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0" w:firstLine="0"/>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0" w:firstLine="0" w:firstLineChars="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40" w:lineRule="exact"/>
        <w:ind w:left="0" w:leftChars="0" w:right="0" w:firstLine="640" w:firstLineChars="200"/>
        <w:rPr>
          <w:rFonts w:hint="eastAsia" w:ascii="Times New Roman" w:hAnsi="Times New Roman" w:eastAsia="仿宋_GB2312" w:cs="Times New Roman"/>
          <w:color w:val="000000" w:themeColor="text1"/>
          <w:spacing w:val="0"/>
          <w:position w:val="0"/>
          <w:sz w:val="32"/>
          <w:szCs w:val="32"/>
          <w:u w:color="auto"/>
          <w:lang w:val="en-US" w:eastAsia="zh-CN"/>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十三、</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合同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履行中发生争议，双方应当在相互尊重</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相互理解</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的基础上协商解决，协商不成</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，甲乙双方可以提请</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成立的律师服务收费争议调解委员会依法依规进行调解</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也可以选择第</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none" w:color="auto"/>
          <w:lang w:val="en-US" w:eastAsia="zh-CN"/>
          <w14:textFill>
            <w14:solidFill>
              <w14:schemeClr w14:val="tx1"/>
            </w14:solidFill>
          </w14:textFill>
        </w:rPr>
        <w:t>种方式解决。</w:t>
      </w:r>
    </w:p>
    <w:p>
      <w:pPr>
        <w:keepNext w:val="0"/>
        <w:keepLines w:val="0"/>
        <w:pageBreakBefore w:val="0"/>
        <w:widowControl/>
        <w:numPr>
          <w:ilvl w:val="-1"/>
          <w:numId w:val="0"/>
        </w:numPr>
        <w:kinsoku w:val="0"/>
        <w:wordWrap/>
        <w:overflowPunct/>
        <w:topLinePunct w:val="0"/>
        <w:autoSpaceDE w:val="0"/>
        <w:autoSpaceDN w:val="0"/>
        <w:bidi w:val="0"/>
        <w:adjustRightInd w:val="0"/>
        <w:snapToGrid w:val="0"/>
        <w:spacing w:line="540" w:lineRule="exact"/>
        <w:ind w:left="420" w:leftChars="200" w:right="0" w:firstLine="320" w:firstLineChars="100"/>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向</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xx</w:t>
      </w:r>
      <w:r>
        <w:rPr>
          <w:rFonts w:hint="eastAsia"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仲裁委</w:t>
      </w:r>
      <w:r>
        <w:rPr>
          <w:rFonts w:hint="eastAsia" w:ascii="Times New Roman" w:hAnsi="Times New Roman" w:eastAsia="仿宋_GB2312" w:cs="Times New Roman"/>
          <w:color w:val="000000" w:themeColor="text1"/>
          <w:spacing w:val="0"/>
          <w:position w:val="0"/>
          <w:sz w:val="32"/>
          <w:szCs w:val="32"/>
          <w:highlight w:val="none"/>
          <w:lang w:val="en-US" w:eastAsia="zh-CN"/>
          <w14:textFill>
            <w14:solidFill>
              <w14:schemeClr w14:val="tx1"/>
            </w14:solidFill>
          </w14:textFill>
        </w:rPr>
        <w:t>员会</w:t>
      </w:r>
      <w:r>
        <w:rPr>
          <w:rFonts w:hint="eastAsia" w:ascii="Times New Roman" w:hAnsi="Times New Roman" w:eastAsia="仿宋_GB2312" w:cs="Times New Roman"/>
          <w:color w:val="000000" w:themeColor="text1"/>
          <w:spacing w:val="0"/>
          <w:position w:val="0"/>
          <w:sz w:val="32"/>
          <w:szCs w:val="32"/>
          <w:highlight w:val="none"/>
          <w:lang w:eastAsia="zh-CN"/>
          <w14:textFill>
            <w14:solidFill>
              <w14:schemeClr w14:val="tx1"/>
            </w14:solidFill>
          </w14:textFill>
        </w:rPr>
        <w:t>申请仲裁</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向乙方所在地人民法院提起诉讼。</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十</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合同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一式两份</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甲乙双方各执一份，经双方签字或盖章后生效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风险代理告知书为本合同附件。</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162"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甲方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委托人</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乙方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受</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托人</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地址：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银行账</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号</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联系电话：</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户名：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日期：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开户行：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日期：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83" w:right="162" w:firstLine="639"/>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注：本示范文本仅供参考，律师事务所可根据案件不同情况自行拟定</w:t>
      </w:r>
      <w:r>
        <w:rPr>
          <w:rFonts w:hint="eastAsia" w:ascii="Times New Roman" w:hAnsi="Times New Roman" w:eastAsia="仿宋_GB2312" w:cs="Times New Roman"/>
          <w:b/>
          <w:bCs/>
          <w:color w:val="000000" w:themeColor="text1"/>
          <w:spacing w:val="0"/>
          <w:position w:val="0"/>
          <w:sz w:val="32"/>
          <w:szCs w:val="32"/>
          <w:lang w:eastAsia="zh-CN"/>
          <w14:textFill>
            <w14:solidFill>
              <w14:schemeClr w14:val="tx1"/>
            </w14:solidFill>
          </w14:textFill>
        </w:rPr>
        <w:t>合同文本</w:t>
      </w:r>
      <w:r>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3" w:right="162" w:firstLine="639"/>
        <w:rPr>
          <w:rFonts w:hint="default" w:ascii="Times New Roman" w:hAnsi="Times New Roman" w:eastAsia="仿宋_GB2312" w:cs="Times New Roman"/>
          <w:b/>
          <w:bCs/>
          <w:color w:val="000000" w:themeColor="text1"/>
          <w:spacing w:val="0"/>
          <w:position w:val="0"/>
          <w:sz w:val="32"/>
          <w:szCs w:val="32"/>
          <w14:textFill>
            <w14:solidFill>
              <w14:schemeClr w14:val="tx1"/>
            </w14:solidFill>
          </w14:textFill>
        </w:rPr>
        <w:sectPr>
          <w:footerReference r:id="rId6" w:type="default"/>
          <w:pgSz w:w="11900" w:h="16830"/>
          <w:pgMar w:top="1701" w:right="1474" w:bottom="1134" w:left="1587" w:header="0" w:footer="648" w:gutter="0"/>
          <w:pgNumType w:fmt="numberInDash"/>
          <w:cols w:space="720" w:num="1"/>
        </w:sectPr>
      </w:pP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rPr>
          <w:rFonts w:hint="default" w:ascii="Times New Roman" w:hAnsi="Times New Roman" w:eastAsia="仿宋" w:cs="Times New Roman"/>
          <w:color w:val="000000" w:themeColor="text1"/>
          <w:spacing w:val="0"/>
          <w:position w:val="0"/>
          <w:sz w:val="32"/>
          <w:szCs w:val="32"/>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附件</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3</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eastAsia" w:ascii="Times New Roman" w:hAnsi="Times New Roman" w:eastAsia="方正公文小标宋" w:cs="Times New Roman"/>
          <w:color w:val="000000" w:themeColor="text1"/>
          <w:spacing w:val="0"/>
          <w:position w:val="0"/>
          <w:sz w:val="21"/>
          <w:lang w:val="en-US" w:eastAsia="zh-CN"/>
          <w14:textFill>
            <w14:solidFill>
              <w14:schemeClr w14:val="tx1"/>
            </w14:solidFill>
          </w14:textFill>
        </w:rPr>
      </w:pPr>
      <w:r>
        <w:rPr>
          <w:rFonts w:hint="default" w:ascii="Times New Roman" w:hAnsi="Times New Roman" w:eastAsia="方正公文小标宋" w:cs="Times New Roman"/>
          <w:b w:val="0"/>
          <w:bCs w:val="0"/>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风险代理</w:t>
      </w:r>
      <w:r>
        <w:rPr>
          <w:rFonts w:hint="eastAsia" w:ascii="Times New Roman" w:hAnsi="Times New Roman" w:eastAsia="方正公文小标宋" w:cs="Times New Roman"/>
          <w:b w:val="0"/>
          <w:bCs w:val="0"/>
          <w:color w:val="000000" w:themeColor="text1"/>
          <w:spacing w:val="0"/>
          <w:position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告知书</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eastAsia" w:ascii="Times New Roman" w:hAnsi="Times New Roman" w:eastAsia="仿宋" w:cs="Times New Roman"/>
          <w:color w:val="000000" w:themeColor="text1"/>
          <w:spacing w:val="0"/>
          <w:position w:val="0"/>
          <w:sz w:val="21"/>
          <w:lang w:eastAsia="zh-CN"/>
          <w14:textFill>
            <w14:solidFill>
              <w14:schemeClr w14:val="tx1"/>
            </w14:solidFill>
          </w14:textFill>
        </w:rPr>
      </w:pPr>
      <w:r>
        <w:rPr>
          <w:rFonts w:hint="eastAsia" w:ascii="Times New Roman" w:hAnsi="Times New Roman" w:eastAsia="仿宋"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示范文本</w:t>
      </w:r>
      <w:r>
        <w:rPr>
          <w:rFonts w:hint="eastAsia" w:ascii="Times New Roman" w:hAnsi="Times New Roman" w:eastAsia="仿宋"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尊敬的委托人：</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0"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鉴于您选择的收费方式为风险代理收费，我们遵循诚实信用原则，向您告知</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下列</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741"/>
        <w:outlineLvl w:val="0"/>
        <w:rPr>
          <w:rFonts w:hint="eastAsia" w:ascii="Times New Roman" w:hAnsi="Times New Roman" w:eastAsia="黑体"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一、风险代理收费的</w:t>
      </w:r>
      <w:r>
        <w:rPr>
          <w:rFonts w:hint="eastAsia" w:ascii="Times New Roman" w:hAnsi="Times New Roman" w:eastAsia="黑体"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含义</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96" w:right="91" w:firstLine="64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风险代理收费是指律师事务所在接受委托时，只收取一定金额的基本服务费用</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或约定不收取基本服务费用</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其余服务报酬由律师事务所与委托人就委托事项目标、效果和支付律师服务费的时间、比例、条件、方式等先行约定</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根据目标、效果的实现情况</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按约定金额或比例支付的收费方式。</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741"/>
        <w:outlineLvl w:val="0"/>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pP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二、</w:t>
      </w:r>
      <w:r>
        <w:rPr>
          <w:rFonts w:hint="eastAsia" w:ascii="Times New Roman" w:hAnsi="Times New Roman" w:eastAsia="黑体"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禁止</w:t>
      </w: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适用风险代理</w:t>
      </w:r>
      <w:r>
        <w:rPr>
          <w:rFonts w:hint="eastAsia" w:ascii="Times New Roman" w:hAnsi="Times New Roman" w:eastAsia="黑体"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案件</w:t>
      </w: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范围</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96" w:firstLine="64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禁止刑事诉讼案件、行政诉讼案件、国家赔偿案件、群体性诉讼案件、婚姻继承案件以及请求给予社会保险待遇、最低生活保障待遇、赡养费、抚养费、扶养费、抚恤金、救济金</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工伤赔偿、劳动报酬的案件实行或者变相实行风险代理。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right="5" w:firstLine="640" w:firstLineChars="200"/>
        <w:outlineLvl w:val="9"/>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pP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三、风险代理</w:t>
      </w:r>
      <w:r>
        <w:rPr>
          <w:rFonts w:hint="eastAsia" w:ascii="Times New Roman" w:hAnsi="Times New Roman" w:eastAsia="黑体" w:cs="Times New Roman"/>
          <w:color w:val="000000" w:themeColor="text1"/>
          <w:spacing w:val="0"/>
          <w:position w:val="0"/>
          <w:sz w:val="32"/>
          <w:szCs w:val="32"/>
          <w:u w:val="none"/>
          <w:lang w:val="en-US" w:eastAsia="zh-CN"/>
          <w14:textOutline w14:w="5816" w14:cap="flat" w14:cmpd="sng">
            <w14:solidFill>
              <w14:srgbClr w14:val="000000"/>
            </w14:solidFill>
            <w14:prstDash w14:val="solid"/>
            <w14:miter w14:val="0"/>
          </w14:textOutline>
          <w14:textFill>
            <w14:solidFill>
              <w14:schemeClr w14:val="tx1"/>
            </w14:solidFill>
          </w14:textFill>
        </w:rPr>
        <w:t>最高</w:t>
      </w:r>
      <w:r>
        <w:rPr>
          <w:rFonts w:hint="default" w:ascii="Times New Roman" w:hAnsi="Times New Roman" w:eastAsia="黑体" w:cs="Times New Roman"/>
          <w:color w:val="000000" w:themeColor="text1"/>
          <w:spacing w:val="0"/>
          <w:position w:val="0"/>
          <w:sz w:val="32"/>
          <w:szCs w:val="32"/>
          <w:u w:val="none"/>
          <w14:textOutline w14:w="5816" w14:cap="flat" w14:cmpd="sng">
            <w14:solidFill>
              <w14:srgbClr w14:val="000000"/>
            </w14:solidFill>
            <w14:prstDash w14:val="solid"/>
            <w14:miter w14:val="0"/>
          </w14:textOutline>
          <w14:textFill>
            <w14:solidFill>
              <w14:schemeClr w14:val="tx1"/>
            </w14:solidFill>
          </w14:textFill>
        </w:rPr>
        <w:t>收费</w:t>
      </w:r>
      <w:r>
        <w:rPr>
          <w:rFonts w:hint="eastAsia" w:ascii="Times New Roman" w:hAnsi="Times New Roman" w:eastAsia="黑体" w:cs="Times New Roman"/>
          <w:color w:val="000000" w:themeColor="text1"/>
          <w:spacing w:val="0"/>
          <w:position w:val="0"/>
          <w:sz w:val="32"/>
          <w:szCs w:val="32"/>
          <w:u w:val="none"/>
          <w:lang w:val="en-US" w:eastAsia="zh-CN"/>
          <w14:textOutline w14:w="5816" w14:cap="flat" w14:cmpd="sng">
            <w14:solidFill>
              <w14:srgbClr w14:val="000000"/>
            </w14:solidFill>
            <w14:prstDash w14:val="solid"/>
            <w14:miter w14:val="0"/>
          </w14:textOutline>
          <w14:textFill>
            <w14:solidFill>
              <w14:schemeClr w14:val="tx1"/>
            </w14:solidFill>
          </w14:textFill>
        </w:rPr>
        <w:t>金额</w:t>
      </w: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限制</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31" w:firstLine="60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律师事务所与当事人约定风险代理收费的</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可以按照固定的金额收费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也可以按照当事人最终实现的债权或者减免的债务金额</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（下文</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筒称“标的额”</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的一定比例收费。且应符合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下列</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规定</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18" w:firstLine="640" w:firstLineChars="200"/>
        <w:textAlignment w:val="baseline"/>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标的额不足人民币100万元的部分，不得超过标的额的18%</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32" w:firstLine="640" w:firstLineChars="200"/>
        <w:textAlignment w:val="baseline"/>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标的额在人民币100万元以上不足500万元的部</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分，</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不得超过标的额的15%</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50" w:firstLine="640" w:firstLineChars="200"/>
        <w:textAlignment w:val="baseline"/>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三）</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标的额在人民币500万元以上不足1000万元的部分，不得超过标的额的12%</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68" w:firstLine="640" w:firstLineChars="200"/>
        <w:textAlignment w:val="baseline"/>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四）</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标的额在人民币1000万元以上不足5000万元的部分</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不得超过标的额的9%</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68" w:firstLine="640" w:firstLineChars="200"/>
        <w:textAlignment w:val="baseline"/>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五）</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标的额在人民币5000 万元以上的部分，不得超过标的额的6%</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741"/>
        <w:outlineLvl w:val="0"/>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pPr>
      <w:r>
        <w:rPr>
          <w:rFonts w:hint="eastAsia" w:ascii="Times New Roman" w:hAnsi="Times New Roman" w:eastAsia="黑体"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四</w:t>
      </w: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、未如实陈述事实和提供证据的风险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您应当向承办律师如实提供全面准确的事实和证据，以便承办律师依法维护您的合法权益。律师对您的陈述将全部认定是真实的，并依此分析判断案件的可能情况</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如果您作虚假陈述或提供虚假证据，将会导致律师作出错误的分析、判断，对此律师不承担任何责任。</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741"/>
        <w:outlineLvl w:val="0"/>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pPr>
      <w:r>
        <w:rPr>
          <w:rFonts w:hint="eastAsia" w:ascii="Times New Roman" w:hAnsi="Times New Roman" w:eastAsia="黑体"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五</w:t>
      </w: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w:t>
      </w:r>
      <w:r>
        <w:rPr>
          <w:rFonts w:hint="eastAsia" w:ascii="Times New Roman" w:hAnsi="Times New Roman" w:eastAsia="黑体"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您委托的法律服务事项还可能存在如下</w:t>
      </w:r>
      <w:r>
        <w:rPr>
          <w:rFonts w:hint="default" w:ascii="Times New Roman" w:hAnsi="Times New Roman" w:eastAsia="黑体"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风险</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u w:val="single" w:color="auto"/>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121"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感谢您对我们的信任与支持，我们将</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勤勉尽责，</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维护您的合法权益。</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u w:val="single" w:color="000000"/>
          <w14:textOutline w14:w="5994" w14:cap="flat" w14:cmpd="sng">
            <w14:solidFill>
              <w14:srgbClr w14:val="000000"/>
            </w14:solidFill>
            <w14:prstDash w14:val="solid"/>
            <w14:miter w14:val="0"/>
          </w14:textOutline>
          <w14:textFill>
            <w14:solidFill>
              <w14:schemeClr w14:val="tx1"/>
            </w14:solidFill>
          </w14:textFill>
        </w:rPr>
        <w:t>承办律师已告知委托人上述事项，委托人已完全了解风险告知书中所提示的全部内容。</w:t>
      </w:r>
      <w:r>
        <w:rPr>
          <w:rFonts w:hint="default" w:ascii="Times New Roman" w:hAnsi="Times New Roman" w:eastAsia="仿宋_GB2312" w:cs="Times New Roman"/>
          <w:color w:val="000000" w:themeColor="text1"/>
          <w:spacing w:val="0"/>
          <w:position w:val="0"/>
          <w:sz w:val="32"/>
          <w:szCs w:val="32"/>
          <w:u w:val="single" w:color="auto"/>
          <w14:textFill>
            <w14:solidFill>
              <w14:schemeClr w14:val="tx1"/>
            </w14:solidFill>
          </w14:textFill>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495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委托人：</w:t>
      </w:r>
    </w:p>
    <w:p>
      <w:pPr>
        <w:keepNext w:val="0"/>
        <w:keepLines w:val="0"/>
        <w:pageBreakBefore w:val="0"/>
        <w:widowControl/>
        <w:kinsoku w:val="0"/>
        <w:wordWrap/>
        <w:overflowPunct/>
        <w:topLinePunct w:val="0"/>
        <w:autoSpaceDE w:val="0"/>
        <w:autoSpaceDN w:val="0"/>
        <w:bidi w:val="0"/>
        <w:adjustRightInd w:val="0"/>
        <w:snapToGrid w:val="0"/>
        <w:spacing w:line="560" w:lineRule="exact"/>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left="4959"/>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sectPr>
          <w:footerReference r:id="rId7" w:type="default"/>
          <w:pgSz w:w="11900" w:h="16830"/>
          <w:pgMar w:top="1701" w:right="1474" w:bottom="1134" w:left="1587" w:header="0" w:footer="668" w:gutter="0"/>
          <w:pgNumType w:fmt="numberInDash"/>
          <w:cols w:space="720" w:num="1"/>
        </w:sectPr>
      </w:pP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年   月    </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日</w:t>
      </w:r>
    </w:p>
    <w:p>
      <w:pPr>
        <w:keepNext w:val="0"/>
        <w:keepLines w:val="0"/>
        <w:pageBreakBefore w:val="0"/>
        <w:widowControl/>
        <w:kinsoku w:val="0"/>
        <w:wordWrap/>
        <w:overflowPunct/>
        <w:topLinePunct w:val="0"/>
        <w:autoSpaceDE w:val="0"/>
        <w:autoSpaceDN w:val="0"/>
        <w:bidi w:val="0"/>
        <w:adjustRightInd w:val="0"/>
        <w:snapToGrid w:val="0"/>
        <w:spacing w:line="560" w:lineRule="exact"/>
        <w:ind w:right="258"/>
        <w:rPr>
          <w:rFonts w:hint="eastAsia" w:ascii="Times New Roman" w:hAnsi="Times New Roman" w:eastAsia="仿宋_GB2312" w:cs="Times New Roman"/>
          <w:color w:val="000000" w:themeColor="text1"/>
          <w:spacing w:val="0"/>
          <w:position w:val="0"/>
          <w:sz w:val="46"/>
          <w:szCs w:val="46"/>
          <w:lang w:val="en-US" w:eastAsia="zh-CN"/>
          <w14:textOutline w14:w="8356" w14:cap="flat" w14:cmpd="sng">
            <w14:solidFill>
              <w14:srgbClr w14:val="000000"/>
            </w14:solidFill>
            <w14:prstDash w14:val="solid"/>
            <w14:miter w14:val="0"/>
          </w14:textOutline>
          <w14:textFill>
            <w14:solidFill>
              <w14:schemeClr w14:val="tx1"/>
            </w14:solidFill>
          </w14:textFill>
        </w:rPr>
      </w:pP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附件</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4</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方正公文小标宋" w:cs="Times New Roman"/>
          <w:b w:val="0"/>
          <w:bCs w:val="0"/>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pPr>
      <w:r>
        <w:rPr>
          <w:rFonts w:hint="default" w:ascii="Times New Roman" w:hAnsi="Times New Roman" w:eastAsia="方正公文小标宋" w:cs="Times New Roman"/>
          <w:b w:val="0"/>
          <w:bCs w:val="0"/>
          <w:color w:val="000000" w:themeColor="text1"/>
          <w:spacing w:val="0"/>
          <w:position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安徽</w:t>
      </w:r>
      <w:r>
        <w:rPr>
          <w:rFonts w:hint="default" w:ascii="Times New Roman" w:hAnsi="Times New Roman" w:eastAsia="方正公文小标宋" w:cs="Times New Roman"/>
          <w:b w:val="0"/>
          <w:bCs w:val="0"/>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省律师</w:t>
      </w:r>
      <w:r>
        <w:rPr>
          <w:rFonts w:hint="eastAsia" w:ascii="Times New Roman" w:hAnsi="Times New Roman" w:eastAsia="方正公文小标宋" w:cs="Times New Roman"/>
          <w:b w:val="0"/>
          <w:bCs w:val="0"/>
          <w:color w:val="000000" w:themeColor="text1"/>
          <w:spacing w:val="0"/>
          <w:position w:val="0"/>
          <w:sz w:val="44"/>
          <w:szCs w:val="44"/>
          <w:lang w:val="en-US" w:eastAsia="zh-CN"/>
          <w14:textOutline w14:w="8356" w14:cap="flat" w14:cmpd="sng">
            <w14:solidFill>
              <w14:srgbClr w14:val="000000"/>
            </w14:solidFill>
            <w14:prstDash w14:val="solid"/>
            <w14:miter w14:val="0"/>
          </w14:textOutline>
          <w14:textFill>
            <w14:solidFill>
              <w14:schemeClr w14:val="tx1"/>
            </w14:solidFill>
          </w14:textFill>
        </w:rPr>
        <w:t>事务所律师</w:t>
      </w:r>
      <w:r>
        <w:rPr>
          <w:rFonts w:hint="default" w:ascii="Times New Roman" w:hAnsi="Times New Roman" w:eastAsia="方正公文小标宋" w:cs="Times New Roman"/>
          <w:b w:val="0"/>
          <w:bCs w:val="0"/>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服务费标准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0"/>
        <w:jc w:val="center"/>
        <w:rPr>
          <w:rFonts w:hint="default" w:ascii="Times New Roman" w:hAnsi="Times New Roman" w:eastAsia="方正公文小标宋" w:cs="Times New Roman"/>
          <w:b w:val="0"/>
          <w:bCs w:val="0"/>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pPr>
      <w:r>
        <w:rPr>
          <w:rFonts w:hint="default" w:ascii="Times New Roman" w:hAnsi="Times New Roman" w:eastAsia="方正公文小标宋" w:cs="Times New Roman"/>
          <w:b w:val="0"/>
          <w:bCs w:val="0"/>
          <w:color w:val="000000" w:themeColor="text1"/>
          <w:spacing w:val="0"/>
          <w:position w:val="0"/>
          <w:sz w:val="44"/>
          <w:szCs w:val="44"/>
          <w14:textOutline w14:w="8356" w14:cap="flat" w14:cmpd="sng">
            <w14:solidFill>
              <w14:srgbClr w14:val="000000"/>
            </w14:solidFill>
            <w14:prstDash w14:val="solid"/>
            <w14:miter w14:val="0"/>
          </w14:textOutline>
          <w14:textFill>
            <w14:solidFill>
              <w14:schemeClr w14:val="tx1"/>
            </w14:solidFill>
          </w14:textFill>
        </w:rPr>
        <w:t>备案管理办法</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6" w:firstLine="644"/>
        <w:jc w:val="cente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pPr>
      <w:r>
        <w:rPr>
          <w:rFonts w:hint="eastAsia"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2023年</w:t>
      </w:r>
      <w:r>
        <w:rPr>
          <w:rFonts w:ascii="Times New Roman" w:hAnsi="Times New Roman" w:eastAsia="仿宋_GB2312" w:cs="Times New Roman"/>
          <w:b w:val="0"/>
          <w:i w:val="0"/>
          <w:iCs w:val="0"/>
          <w:caps w:val="0"/>
          <w:color w:val="000000" w:themeColor="text1"/>
          <w:spacing w:val="0"/>
          <w:kern w:val="2"/>
          <w:sz w:val="32"/>
          <w:szCs w:val="32"/>
          <w:shd w:val="clear"/>
          <w14:textFill>
            <w14:solidFill>
              <w14:schemeClr w14:val="tx1"/>
            </w14:solidFill>
          </w14:textFill>
        </w:rPr>
        <w:t>3月4日</w:t>
      </w: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第十届</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安徽省律师协会</w:t>
      </w: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常务理事会</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6" w:firstLine="644"/>
        <w:jc w:val="center"/>
        <w:rPr>
          <w:rFonts w:hint="default" w:ascii="Times New Roman" w:hAnsi="Times New Roman" w:eastAsia="仿宋_GB2312" w:cs="Times New Roman"/>
          <w:b w:val="0"/>
          <w:bCs w:val="0"/>
          <w:color w:val="000000" w:themeColor="text1"/>
          <w:spacing w:val="0"/>
          <w:position w:val="0"/>
          <w:sz w:val="32"/>
          <w:szCs w:val="32"/>
          <w14:textFill>
            <w14:solidFill>
              <w14:schemeClr w14:val="tx1"/>
            </w14:solidFill>
          </w14:textFill>
        </w:rPr>
      </w:pPr>
      <w:r>
        <w:rPr>
          <w:rFonts w:hint="default" w:ascii="Times New Roman" w:hAnsi="Times New Roman" w:eastAsia="仿宋_GB2312" w:cs="Times New Roman"/>
          <w:b w:val="0"/>
          <w:i w:val="0"/>
          <w:iCs w:val="0"/>
          <w:caps w:val="0"/>
          <w:color w:val="000000" w:themeColor="text1"/>
          <w:spacing w:val="0"/>
          <w:kern w:val="2"/>
          <w:sz w:val="32"/>
          <w:szCs w:val="32"/>
          <w14:textFill>
            <w14:solidFill>
              <w14:schemeClr w14:val="tx1"/>
            </w14:solidFill>
          </w14:textFill>
        </w:rPr>
        <w:t>第六次会议</w:t>
      </w:r>
      <w:r>
        <w:rPr>
          <w:rFonts w:hint="eastAsia" w:ascii="Times New Roman" w:hAnsi="Times New Roman" w:eastAsia="仿宋_GB2312" w:cs="Times New Roman"/>
          <w:b w:val="0"/>
          <w:i w:val="0"/>
          <w:iCs w:val="0"/>
          <w:caps w:val="0"/>
          <w:color w:val="000000" w:themeColor="text1"/>
          <w:spacing w:val="0"/>
          <w:kern w:val="2"/>
          <w:sz w:val="32"/>
          <w:szCs w:val="32"/>
          <w:lang w:eastAsia="zh-CN"/>
          <w14:textFill>
            <w14:solidFill>
              <w14:schemeClr w14:val="tx1"/>
            </w14:solidFill>
          </w14:textFill>
        </w:rPr>
        <w:t>审议</w:t>
      </w:r>
      <w:r>
        <w:rPr>
          <w:rFonts w:hint="default" w:ascii="Times New Roman" w:hAnsi="Times New Roman" w:eastAsia="仿宋_GB2312" w:cs="Times New Roman"/>
          <w:b w:val="0"/>
          <w:i w:val="0"/>
          <w:iCs w:val="0"/>
          <w:caps w:val="0"/>
          <w:color w:val="000000" w:themeColor="text1"/>
          <w:spacing w:val="0"/>
          <w:kern w:val="2"/>
          <w:sz w:val="32"/>
          <w:szCs w:val="32"/>
          <w:lang w:val="en-US" w:eastAsia="zh-CN"/>
          <w14:textFill>
            <w14:solidFill>
              <w14:schemeClr w14:val="tx1"/>
            </w14:solidFill>
          </w14:textFill>
        </w:rPr>
        <w:t>通过）</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6"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第一条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根据《</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司法部</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 xml:space="preserve"> </w:t>
      </w:r>
      <w:r>
        <w:rPr>
          <w:rStyle w:val="6"/>
          <w:rFonts w:hint="default" w:ascii="Times New Roman" w:hAnsi="Times New Roman" w:eastAsia="仿宋_GB2312" w:cs="Times New Roman"/>
          <w:b w:val="0"/>
          <w:bCs w:val="0"/>
          <w:i w:val="0"/>
          <w:iCs w:val="0"/>
          <w:caps w:val="0"/>
          <w:color w:val="000000" w:themeColor="text1"/>
          <w:spacing w:val="0"/>
          <w:sz w:val="32"/>
          <w:szCs w:val="32"/>
          <w:shd w:val="clear" w:fill="FFFFFF"/>
          <w14:textFill>
            <w14:solidFill>
              <w14:schemeClr w14:val="tx1"/>
            </w14:solidFill>
          </w14:textFill>
        </w:rPr>
        <w:t>国家发展和改革委员会</w:t>
      </w:r>
      <w:r>
        <w:rPr>
          <w:rFonts w:hint="eastAsia" w:ascii="Times New Roman" w:hAnsi="Times New Roman" w:eastAsia="仿宋_GB2312" w:cs="Times New Roman"/>
          <w:b w:val="0"/>
          <w:bCs w:val="0"/>
          <w:i w:val="0"/>
          <w:iCs w:val="0"/>
          <w:caps w:val="0"/>
          <w:color w:val="000000" w:themeColor="text1"/>
          <w:spacing w:val="0"/>
          <w:sz w:val="32"/>
          <w:szCs w:val="32"/>
          <w:shd w:val="clear"/>
          <w:lang w:val="en-US" w:eastAsia="zh-CN"/>
          <w14:textFill>
            <w14:solidFill>
              <w14:schemeClr w14:val="tx1"/>
            </w14:solidFill>
          </w14:textFill>
        </w:rPr>
        <w:t xml:space="preserve"> </w:t>
      </w:r>
      <w:r>
        <w:rPr>
          <w:rStyle w:val="6"/>
          <w:rFonts w:hint="default" w:ascii="Times New Roman" w:hAnsi="Times New Roman" w:eastAsia="仿宋_GB2312" w:cs="Times New Roman"/>
          <w:b w:val="0"/>
          <w:bCs w:val="0"/>
          <w:i w:val="0"/>
          <w:iCs w:val="0"/>
          <w:caps w:val="0"/>
          <w:color w:val="000000" w:themeColor="text1"/>
          <w:spacing w:val="0"/>
          <w:sz w:val="32"/>
          <w:szCs w:val="32"/>
          <w:shd w:val="clear" w:fill="FFFFFF"/>
          <w14:textFill>
            <w14:solidFill>
              <w14:schemeClr w14:val="tx1"/>
            </w14:solidFill>
          </w14:textFill>
        </w:rPr>
        <w:t>国家市场监督管理总局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 xml:space="preserve">关于进一步规范律师服务收费的意见》 </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司发通</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2021</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87号</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服务费标准制定指引》等</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有关要求</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，为</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进一步做好全省</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服务费标准备案管理</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工作，结合实际，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制定本办法。</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79"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二</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经安徽省司法厅许可设立的律师事务所</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制定的</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服务费标准，采取每年备案的方式，向</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备案。</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3"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三</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律师事务所应</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于每年的</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31</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日前</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将本</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年度</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本所律师服务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费标准向</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备案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新设律师事务所</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在取得执业</w:t>
      </w: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许可证书的</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10</w:t>
      </w: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个工作日</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内</w:t>
      </w:r>
      <w:r>
        <w:rPr>
          <w:rFonts w:hint="eastAsia" w:ascii="Times New Roman" w:hAnsi="Times New Roman" w:eastAsia="仿宋_GB2312" w:cs="Times New Roman"/>
          <w:color w:val="000000" w:themeColor="text1"/>
          <w:spacing w:val="0"/>
          <w:position w:val="0"/>
          <w:sz w:val="32"/>
          <w:szCs w:val="32"/>
          <w14:textFill>
            <w14:solidFill>
              <w14:schemeClr w14:val="tx1"/>
            </w14:solidFill>
          </w14:textFill>
        </w:rPr>
        <w:t>应当制定律师服务费标准并向</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备案。</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3" w:firstLine="644"/>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四</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标准备案后原则上一年内不得变更。</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如果因特殊原因需要变更的，应当在变更后</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10个工作日内向设区的市律师协会备案。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律师事务所不得超出在律师协会备案的服务费标准收费</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也不得无</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正当</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理由</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以明显低</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于备案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的服务费标准收费</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3" w:firstLine="644"/>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五</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律师事务所在备案时应提交</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下列</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材料：</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3" w:firstLine="644"/>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一</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律师事务所许可证副本复印件和扫描件</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各</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一份</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left="84" w:right="193" w:firstLine="644"/>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二</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标准纸质</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文件两份，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电子</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文件</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一份</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纸质文件需加盖律师事务所公章</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right="193" w:firstLine="640" w:firstLineChars="200"/>
        <w:textAlignment w:val="baseline"/>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六</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自收到</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律师事务所律师服务费标准</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备案申请后</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10</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个工作日内对符合《</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服务费标准制定指引》的</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律师事务所律师服务费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标准予以备案，并在</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律师事务所律师服务费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标准上加盖</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highlight w:val="none"/>
          <w14:textFill>
            <w14:solidFill>
              <w14:schemeClr w14:val="tx1"/>
            </w14:solidFill>
          </w14:textFill>
        </w:rPr>
        <w:t>xx</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律师协会</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律师事务所律师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服务费备案专用章</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标准纸质</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文件一式两份，备案的律师协会留存一份，律师事务所留存一份。</w:t>
      </w:r>
    </w:p>
    <w:p>
      <w:pPr>
        <w:keepNext w:val="0"/>
        <w:keepLines w:val="0"/>
        <w:pageBreakBefore w:val="0"/>
        <w:widowControl/>
        <w:kinsoku w:val="0"/>
        <w:wordWrap/>
        <w:overflowPunct/>
        <w:topLinePunct w:val="0"/>
        <w:autoSpaceDE w:val="0"/>
        <w:autoSpaceDN w:val="0"/>
        <w:bidi w:val="0"/>
        <w:adjustRightInd w:val="0"/>
        <w:snapToGrid w:val="0"/>
        <w:spacing w:line="540" w:lineRule="exact"/>
        <w:ind w:right="193" w:firstLine="640" w:firstLineChars="200"/>
        <w:textAlignment w:val="baseline"/>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七</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应当将备案后的律师服务费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标准在本所办公区域显著位置公示</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也</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可以</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同时</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通过纸质</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文字</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电子显示、网络平台等方式向公众发布，接受社会监督</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公示公布内容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包括但不限于收费项目、收费标准、收费依据</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价格监督投诉电话等</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right="20" w:firstLine="640" w:firstLineChars="200"/>
        <w:textAlignment w:val="auto"/>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八</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律师事务所对本所服务费标准的合法性</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合规性、合理性负责。</w:t>
      </w:r>
    </w:p>
    <w:p>
      <w:pPr>
        <w:keepNext w:val="0"/>
        <w:keepLines w:val="0"/>
        <w:pageBreakBefore w:val="0"/>
        <w:widowControl/>
        <w:tabs>
          <w:tab w:val="left" w:pos="4620"/>
        </w:tabs>
        <w:kinsoku/>
        <w:wordWrap/>
        <w:overflowPunct/>
        <w:topLinePunct w:val="0"/>
        <w:autoSpaceDE/>
        <w:autoSpaceDN/>
        <w:bidi w:val="0"/>
        <w:adjustRightInd/>
        <w:snapToGrid/>
        <w:spacing w:line="560" w:lineRule="exact"/>
        <w:ind w:left="0" w:right="0" w:firstLine="640" w:firstLineChars="200"/>
        <w:jc w:val="left"/>
        <w:textAlignment w:val="auto"/>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九</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如发现律师事务所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不符合《</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服务费标准制定指引</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》要求</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的，可</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以</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向律师事务所提出修改</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意见</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在收到修改</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意见</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后</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20个工作日内修改完成并</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再行备案。</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textAlignment w:val="auto"/>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第十条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设区的市律师协会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应</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当</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于每月10日前将上月</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本地</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律师事务所</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律师服务</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费标准备案情况汇总后分别</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报送至</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省律师协会和市</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、县</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司法局。</w:t>
      </w:r>
    </w:p>
    <w:p>
      <w:pPr>
        <w:keepNext w:val="0"/>
        <w:keepLines w:val="0"/>
        <w:pageBreakBefore w:val="0"/>
        <w:widowControl/>
        <w:kinsoku w:val="0"/>
        <w:wordWrap/>
        <w:overflowPunct/>
        <w:topLinePunct w:val="0"/>
        <w:autoSpaceDE w:val="0"/>
        <w:autoSpaceDN w:val="0"/>
        <w:bidi w:val="0"/>
        <w:adjustRightInd w:val="0"/>
        <w:snapToGrid w:val="0"/>
        <w:spacing w:line="540" w:lineRule="exact"/>
        <w:ind w:left="0" w:firstLine="640" w:firstLineChars="200"/>
        <w:textAlignment w:val="auto"/>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第十</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一</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省律师协会指导各律师协会开展</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律师事务所律师服务费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标准备案工作。各律师协会要把</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律师事务所律师服务费</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标准备案作为律师事务所年度检查</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和律师执业年度考核</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的重要内容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对</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不按规定办理服务费标准备案的律师事务所或者</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上一年度</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有严重违法违规收费行为、造成恶劣社会影响的律师事务所和律师，</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应当依法依规</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将其</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评定为“不合格”“不称职”</w:t>
      </w:r>
      <w:r>
        <w:rPr>
          <w:rFonts w:hint="default"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p>
    <w:p>
      <w:pPr>
        <w:keepNext w:val="0"/>
        <w:keepLines w:val="0"/>
        <w:pageBreakBefore w:val="0"/>
        <w:wordWrap/>
        <w:overflowPunct/>
        <w:topLinePunct w:val="0"/>
        <w:bidi w:val="0"/>
        <w:spacing w:line="540" w:lineRule="exact"/>
        <w:ind w:left="0" w:right="0" w:firstLine="640" w:firstLineChars="200"/>
        <w:textAlignment w:val="auto"/>
        <w:rPr>
          <w:rFonts w:hint="default" w:ascii="Times New Roman" w:hAnsi="Times New Roman" w:cs="Times New Roman" w:eastAsiaTheme="minorEastAsia"/>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第十</w:t>
      </w:r>
      <w:r>
        <w:rPr>
          <w:rFonts w:hint="eastAsia" w:ascii="Times New Roman" w:hAnsi="Times New Roman" w:eastAsia="仿宋" w:cs="Times New Roman"/>
          <w:color w:val="000000" w:themeColor="text1"/>
          <w:spacing w:val="0"/>
          <w:position w:val="0"/>
          <w:sz w:val="32"/>
          <w:szCs w:val="32"/>
          <w:lang w:val="en-US" w:eastAsia="zh-CN"/>
          <w14:textOutline w14:w="5816" w14:cap="flat" w14:cmpd="sng">
            <w14:solidFill>
              <w14:srgbClr w14:val="000000"/>
            </w14:solidFill>
            <w14:prstDash w14:val="solid"/>
            <w14:miter w14:val="0"/>
          </w14:textOutline>
          <w14:textFill>
            <w14:solidFill>
              <w14:schemeClr w14:val="tx1"/>
            </w14:solidFill>
          </w14:textFill>
        </w:rPr>
        <w:t>二</w:t>
      </w:r>
      <w:r>
        <w:rPr>
          <w:rFonts w:hint="default" w:ascii="Times New Roman" w:hAnsi="Times New Roman" w:eastAsia="仿宋" w:cs="Times New Roman"/>
          <w:color w:val="000000" w:themeColor="text1"/>
          <w:spacing w:val="0"/>
          <w:position w:val="0"/>
          <w:sz w:val="32"/>
          <w:szCs w:val="32"/>
          <w14:textOutline w14:w="5816" w14:cap="flat" w14:cmpd="sng">
            <w14:solidFill>
              <w14:srgbClr w14:val="000000"/>
            </w14:solidFill>
            <w14:prstDash w14:val="solid"/>
            <w14:miter w14:val="0"/>
          </w14:textOutline>
          <w14:textFill>
            <w14:solidFill>
              <w14:schemeClr w14:val="tx1"/>
            </w14:solidFill>
          </w14:textFill>
        </w:rPr>
        <w:t>条</w:t>
      </w:r>
      <w:r>
        <w:rPr>
          <w:rFonts w:hint="default" w:ascii="Times New Roman" w:hAnsi="Times New Roman" w:eastAsia="仿宋" w:cs="Times New Roman"/>
          <w:color w:val="000000" w:themeColor="text1"/>
          <w:spacing w:val="0"/>
          <w:position w:val="0"/>
          <w:sz w:val="32"/>
          <w:szCs w:val="32"/>
          <w14:textFill>
            <w14:solidFill>
              <w14:schemeClr w14:val="tx1"/>
            </w14:solidFill>
          </w14:textFill>
        </w:rPr>
        <w:t xml:space="preserve"> </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本办法</w:t>
      </w:r>
      <w:r>
        <w:rPr>
          <w:rFonts w:hint="eastAsia"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自印发之日起施行</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由</w:t>
      </w:r>
      <w:r>
        <w:rPr>
          <w:rFonts w:hint="default" w:ascii="Times New Roman" w:hAnsi="Times New Roman" w:eastAsia="仿宋_GB2312" w:cs="Times New Roman"/>
          <w:color w:val="000000" w:themeColor="text1"/>
          <w:spacing w:val="0"/>
          <w:position w:val="0"/>
          <w:sz w:val="32"/>
          <w:szCs w:val="32"/>
          <w:lang w:val="en-US" w:eastAsia="zh-CN"/>
          <w14:textFill>
            <w14:solidFill>
              <w14:schemeClr w14:val="tx1"/>
            </w14:solidFill>
          </w14:textFill>
        </w:rPr>
        <w:t>安徽</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省律师协会</w:t>
      </w:r>
      <w:r>
        <w:rPr>
          <w:rFonts w:hint="eastAsia" w:ascii="Times New Roman" w:hAnsi="Times New Roman" w:eastAsia="仿宋_GB2312" w:cs="Times New Roman"/>
          <w:color w:val="000000" w:themeColor="text1"/>
          <w:spacing w:val="0"/>
          <w:position w:val="0"/>
          <w:sz w:val="32"/>
          <w:szCs w:val="32"/>
          <w:lang w:eastAsia="zh-CN"/>
          <w14:textFill>
            <w14:solidFill>
              <w14:schemeClr w14:val="tx1"/>
            </w14:solidFill>
          </w14:textFill>
        </w:rPr>
        <w:t>常务理事会</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负责解释。</w:t>
      </w:r>
    </w:p>
    <w:p>
      <w:pPr>
        <w:spacing w:line="540" w:lineRule="exact"/>
        <w:jc w:val="both"/>
        <w:rPr>
          <w:rFonts w:ascii="Times New Roman" w:hAnsi="Times New Roman" w:eastAsia="华文中宋" w:cs="Times New Roman"/>
          <w:sz w:val="44"/>
          <w:szCs w:val="44"/>
        </w:rPr>
      </w:pPr>
    </w:p>
    <w:p>
      <w:pPr>
        <w:rPr>
          <w:rFonts w:hint="eastAsia" w:eastAsiaTheme="minorEastAsia"/>
          <w:lang w:eastAsia="zh-CN"/>
        </w:rPr>
      </w:pPr>
    </w:p>
    <w:sectPr>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3FDB96E-7711-474F-AEEA-A2429D33409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AE1D3748-D53D-41D2-8A94-00BE93BC1D16}"/>
  </w:font>
  <w:font w:name="方正小标宋_GBK">
    <w:panose1 w:val="02000000000000000000"/>
    <w:charset w:val="86"/>
    <w:family w:val="auto"/>
    <w:pitch w:val="default"/>
    <w:sig w:usb0="A00002BF" w:usb1="38CF7CFA" w:usb2="00082016" w:usb3="00000000" w:csb0="00040001" w:csb1="00000000"/>
    <w:embedRegular r:id="rId3" w:fontKey="{5BA5EC05-3280-4C80-BE53-F474336957D1}"/>
  </w:font>
  <w:font w:name="Arial Unicode MS">
    <w:panose1 w:val="020B0604020202020204"/>
    <w:charset w:val="86"/>
    <w:family w:val="auto"/>
    <w:pitch w:val="default"/>
    <w:sig w:usb0="FFFFFFFF" w:usb1="E9FFFFFF" w:usb2="0000003F" w:usb3="00000000" w:csb0="603F01FF" w:csb1="FFFF0000"/>
    <w:embedRegular r:id="rId4" w:fontKey="{0D2BEBD6-E566-4CBD-A7B8-B7BE15A542E7}"/>
  </w:font>
  <w:font w:name="仿宋_GB2312">
    <w:panose1 w:val="02010609030101010101"/>
    <w:charset w:val="86"/>
    <w:family w:val="auto"/>
    <w:pitch w:val="default"/>
    <w:sig w:usb0="00000001" w:usb1="080E0000" w:usb2="00000000" w:usb3="00000000" w:csb0="00040000" w:csb1="00000000"/>
    <w:embedRegular r:id="rId5" w:fontKey="{2AD328D2-DED9-477D-ACCD-8C70EEE2E20F}"/>
  </w:font>
  <w:font w:name="仿宋">
    <w:panose1 w:val="02010609060101010101"/>
    <w:charset w:val="86"/>
    <w:family w:val="auto"/>
    <w:pitch w:val="default"/>
    <w:sig w:usb0="800002BF" w:usb1="38CF7CFA" w:usb2="00000016" w:usb3="00000000" w:csb0="00040001" w:csb1="00000000"/>
    <w:embedRegular r:id="rId6" w:fontKey="{E349EB10-AF69-4CE1-AC7E-EEA4D9B6BA02}"/>
  </w:font>
  <w:font w:name="方正公文小标宋">
    <w:panose1 w:val="02000500000000000000"/>
    <w:charset w:val="86"/>
    <w:family w:val="auto"/>
    <w:pitch w:val="default"/>
    <w:sig w:usb0="A00002BF" w:usb1="38CF7CFA" w:usb2="00000016" w:usb3="00000000" w:csb0="00040001" w:csb1="00000000"/>
    <w:embedRegular r:id="rId7" w:fontKey="{8B7FF832-63C5-4868-8502-45B18FF40ADE}"/>
  </w:font>
  <w:font w:name="华文中宋">
    <w:panose1 w:val="02010600040101010101"/>
    <w:charset w:val="86"/>
    <w:family w:val="auto"/>
    <w:pitch w:val="default"/>
    <w:sig w:usb0="00000287" w:usb1="080F0000" w:usb2="00000000" w:usb3="00000000" w:csb0="0004009F" w:csb1="DFD70000"/>
    <w:embedRegular r:id="rId8" w:fontKey="{987F4634-CBCF-41BF-8C81-2B9EFFF1E19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仿宋" w:hAnsi="仿宋" w:eastAsia="仿宋" w:cs="仿宋"/>
        <w:sz w:val="26"/>
        <w:szCs w:val="26"/>
      </w:rPr>
    </w:pPr>
    <w:r>
      <w:rPr>
        <w:sz w:val="26"/>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9bQWsyAgAAYwQAAA4AAABkcnMvZTJvRG9jLnhtbK1UzY7TMBC+I/EO&#10;lu80aRGrUj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tBaz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- 22 -</w:t>
                    </w:r>
                    <w:r>
                      <w:rPr>
                        <w:rFonts w:hint="eastAsia" w:ascii="宋体" w:hAnsi="宋体" w:eastAsia="宋体" w:cs="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7"/>
        <w:szCs w:val="27"/>
      </w:rPr>
    </w:pPr>
    <w:r>
      <w:rPr>
        <w:sz w:val="27"/>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- 33 -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宋体" w:hAnsi="宋体" w:eastAsia="宋体" w:cs="宋体"/>
        <w:sz w:val="25"/>
        <w:szCs w:val="25"/>
      </w:rPr>
    </w:pPr>
    <w:r>
      <w:rPr>
        <w:sz w:val="25"/>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- 34 -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- 34 -</w:t>
                    </w:r>
                    <w:r>
                      <w:rPr>
                        <w:rFonts w:hint="eastAsia" w:ascii="宋体" w:hAnsi="宋体" w:eastAsia="宋体" w:cs="宋体"/>
                        <w:sz w:val="28"/>
                        <w:szCs w:val="28"/>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仿宋" w:hAnsi="仿宋" w:eastAsia="仿宋" w:cs="仿宋"/>
        <w:sz w:val="26"/>
        <w:szCs w:val="26"/>
      </w:rPr>
    </w:pPr>
    <w:r>
      <w:rPr>
        <w:sz w:val="26"/>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- 39 -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- 39 -</w:t>
                    </w:r>
                    <w:r>
                      <w:rPr>
                        <w:rFonts w:hint="eastAsia" w:ascii="宋体" w:hAnsi="宋体" w:eastAsia="宋体" w:cs="宋体"/>
                        <w:sz w:val="28"/>
                        <w:szCs w:val="2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ascii="仿宋" w:hAnsi="仿宋" w:eastAsia="仿宋" w:cs="仿宋"/>
        <w:sz w:val="26"/>
        <w:szCs w:val="26"/>
      </w:rPr>
    </w:pPr>
    <w:r>
      <w:rPr>
        <w:sz w:val="26"/>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- 43 -</w:t>
                    </w:r>
                    <w:r>
                      <w:rPr>
                        <w:rFonts w:hint="eastAsia" w:ascii="宋体" w:hAnsi="宋体" w:eastAsia="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EAAAFA"/>
    <w:multiLevelType w:val="singleLevel"/>
    <w:tmpl w:val="21EAAAFA"/>
    <w:lvl w:ilvl="0" w:tentative="0">
      <w:start w:val="1"/>
      <w:numFmt w:val="chineseCounting"/>
      <w:suff w:val="space"/>
      <w:lvlText w:val="第%1条"/>
      <w:lvlJc w:val="left"/>
      <w:rPr>
        <w:rFonts w:hint="eastAsia"/>
        <w:b/>
        <w:bCs/>
        <w:i w:val="0"/>
        <w:iCs w:val="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TrueTypeFonts/>
  <w:saveSubset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0YzFiY2I4NzQ0Zjg0ZDExZjkyODAzNDA2NmYwMTYifQ=="/>
  </w:docVars>
  <w:rsids>
    <w:rsidRoot w:val="4E754217"/>
    <w:rsid w:val="0522012D"/>
    <w:rsid w:val="06531F0B"/>
    <w:rsid w:val="0A9D666F"/>
    <w:rsid w:val="0BB27958"/>
    <w:rsid w:val="0BEE01FA"/>
    <w:rsid w:val="0CB407DE"/>
    <w:rsid w:val="0D6B4F63"/>
    <w:rsid w:val="0E752745"/>
    <w:rsid w:val="15CB03F3"/>
    <w:rsid w:val="19CC5435"/>
    <w:rsid w:val="1A5C1EB0"/>
    <w:rsid w:val="1BBD61B0"/>
    <w:rsid w:val="28FB3897"/>
    <w:rsid w:val="2EF344AF"/>
    <w:rsid w:val="448A144B"/>
    <w:rsid w:val="4744556C"/>
    <w:rsid w:val="487724DC"/>
    <w:rsid w:val="4E754217"/>
    <w:rsid w:val="4E8A5B90"/>
    <w:rsid w:val="548F3352"/>
    <w:rsid w:val="582C0EC1"/>
    <w:rsid w:val="5AB300DB"/>
    <w:rsid w:val="5B2B0B23"/>
    <w:rsid w:val="73F70768"/>
    <w:rsid w:val="77F549FE"/>
    <w:rsid w:val="7F682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Autospacing="1" w:afterAutospacing="1"/>
      <w:jc w:val="left"/>
      <w:outlineLvl w:val="0"/>
    </w:pPr>
    <w:rPr>
      <w:rFonts w:ascii="宋体" w:hAnsi="宋体"/>
      <w:b/>
      <w:kern w:val="44"/>
      <w:sz w:val="48"/>
      <w:szCs w:val="4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Strong"/>
    <w:basedOn w:val="6"/>
    <w:qFormat/>
    <w:uiPriority w:val="0"/>
    <w:rPr>
      <w:b/>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9277</Words>
  <Characters>9459</Characters>
  <Lines>0</Lines>
  <Paragraphs>0</Paragraphs>
  <TotalTime>378</TotalTime>
  <ScaleCrop>false</ScaleCrop>
  <LinksUpToDate>false</LinksUpToDate>
  <CharactersWithSpaces>11563</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2023-04-27T01:16:00Z</dcterms:created>
  <dc:creator>土土</dc:creator>
  <cp:lastModifiedBy>小麦</cp:lastModifiedBy>
  <cp:lastPrinted>2023-10-07T07:40:00Z</cp:lastPrinted>
  <dcterms:modified xsi:type="dcterms:W3CDTF">2023-12-05T05:27:13Z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F959880F73304C98A1D8ECD220E0A00D_13</vt:lpwstr>
  </property>
</Properties>
</file>